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f3bb" w14:textId="94ff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января 2019 года № 19. Зарегистрировано в Министерстве юстиции Республики Казахстан 12 февраля 2019 года № 18284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постановления см. в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размера капитала банка на определенную дату,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"71. Нормативы ликвидности, независимо от расчетных значений коэффициентов ликвидности, определяемых на среднемесячной основе, считаются невыполненными при наличии у банка в течение отчетного периода просроченных обязательств перед кредиторами и вкладчиками.";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"77.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w:t>
      </w:r>
      <w:r>
        <w:rPr>
          <w:rFonts w:ascii="Times New Roman"/>
          <w:b w:val="false"/>
          <w:i w:val="false"/>
          <w:color w:val="000000"/>
          <w:sz w:val="28"/>
        </w:rPr>
        <w:t>Таблице</w:t>
      </w:r>
      <w:r>
        <w:rPr>
          <w:rFonts w:ascii="Times New Roman"/>
          <w:b w:val="false"/>
          <w:i w:val="false"/>
          <w:color w:val="000000"/>
          <w:sz w:val="28"/>
        </w:rPr>
        <w:t xml:space="preserve"> денежных оттоков и притоков банка согласно приложению 14 к Нормативам, по следующим обязательствам банка:</w:t>
      </w:r>
    </w:p>
    <w:bookmarkEnd w:id="4"/>
    <w:bookmarkStart w:name="z11" w:id="5"/>
    <w:p>
      <w:pPr>
        <w:spacing w:after="0"/>
        <w:ind w:left="0"/>
        <w:jc w:val="both"/>
      </w:pPr>
      <w:r>
        <w:rPr>
          <w:rFonts w:ascii="Times New Roman"/>
          <w:b w:val="false"/>
          <w:i w:val="false"/>
          <w:color w:val="000000"/>
          <w:sz w:val="28"/>
        </w:rPr>
        <w:t>
      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банком займам, включаются в расчет в соответствии со сроком погашения соответствующего займа;</w:t>
      </w:r>
    </w:p>
    <w:bookmarkEnd w:id="5"/>
    <w:bookmarkStart w:name="z12" w:id="6"/>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 исключением иной кредиторской задолженности) перед юридическими лицами, субъектами малого предпринимательства, не обеспеченным активами банка,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bookmarkEnd w:id="6"/>
    <w:bookmarkStart w:name="z13" w:id="7"/>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заемным операциям, за исключением иной кредиторской задолженности) перед юридическими лицами, обеспеченным активами банка,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bookmarkEnd w:id="7"/>
    <w:bookmarkStart w:name="z14" w:id="8"/>
    <w:p>
      <w:pPr>
        <w:spacing w:after="0"/>
        <w:ind w:left="0"/>
        <w:jc w:val="both"/>
      </w:pPr>
      <w:r>
        <w:rPr>
          <w:rFonts w:ascii="Times New Roman"/>
          <w:b w:val="false"/>
          <w:i w:val="false"/>
          <w:color w:val="000000"/>
          <w:sz w:val="28"/>
        </w:rPr>
        <w:t>
      дополнительные денежные оттоки по условным и возможным обязательствам, имеющим срок полного исполнения в течение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календарного месяца, следующего за датой расчета коэффициента покрытия ликвидности.</w:t>
      </w:r>
    </w:p>
    <w:bookmarkEnd w:id="8"/>
    <w:bookmarkStart w:name="z15" w:id="9"/>
    <w:p>
      <w:pPr>
        <w:spacing w:after="0"/>
        <w:ind w:left="0"/>
        <w:jc w:val="both"/>
      </w:pPr>
      <w:r>
        <w:rPr>
          <w:rFonts w:ascii="Times New Roman"/>
          <w:b w:val="false"/>
          <w:i w:val="false"/>
          <w:color w:val="000000"/>
          <w:sz w:val="28"/>
        </w:rPr>
        <w:t xml:space="preserve">
      Стабильные депозиты включают гарантируемые депозиты физических лиц в размере, установленном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w:t>
      </w:r>
    </w:p>
    <w:bookmarkEnd w:id="9"/>
    <w:bookmarkStart w:name="z16" w:id="10"/>
    <w:p>
      <w:pPr>
        <w:spacing w:after="0"/>
        <w:ind w:left="0"/>
        <w:jc w:val="both"/>
      </w:pPr>
      <w:r>
        <w:rPr>
          <w:rFonts w:ascii="Times New Roman"/>
          <w:b w:val="false"/>
          <w:i w:val="false"/>
          <w:color w:val="000000"/>
          <w:sz w:val="28"/>
        </w:rPr>
        <w:t>
      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статьей 18 Закона об обязательном гарантировании депозитов.</w:t>
      </w:r>
    </w:p>
    <w:bookmarkEnd w:id="10"/>
    <w:bookmarkStart w:name="z17" w:id="11"/>
    <w:p>
      <w:pPr>
        <w:spacing w:after="0"/>
        <w:ind w:left="0"/>
        <w:jc w:val="both"/>
      </w:pPr>
      <w:r>
        <w:rPr>
          <w:rFonts w:ascii="Times New Roman"/>
          <w:b w:val="false"/>
          <w:i w:val="false"/>
          <w:color w:val="000000"/>
          <w:sz w:val="28"/>
        </w:rPr>
        <w:t>
      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bookmarkEnd w:id="11"/>
    <w:bookmarkStart w:name="z18" w:id="12"/>
    <w:p>
      <w:pPr>
        <w:spacing w:after="0"/>
        <w:ind w:left="0"/>
        <w:jc w:val="both"/>
      </w:pP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w:t>
      </w:r>
    </w:p>
    <w:bookmarkEnd w:id="12"/>
    <w:bookmarkStart w:name="z19" w:id="13"/>
    <w:p>
      <w:pPr>
        <w:spacing w:after="0"/>
        <w:ind w:left="0"/>
        <w:jc w:val="both"/>
      </w:pPr>
      <w:r>
        <w:rPr>
          <w:rFonts w:ascii="Times New Roman"/>
          <w:b w:val="false"/>
          <w:i w:val="false"/>
          <w:color w:val="000000"/>
          <w:sz w:val="28"/>
        </w:rPr>
        <w:t>
      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13"/>
    <w:bookmarkStart w:name="z20" w:id="14"/>
    <w:p>
      <w:pPr>
        <w:spacing w:after="0"/>
        <w:ind w:left="0"/>
        <w:jc w:val="both"/>
      </w:pPr>
      <w:r>
        <w:rPr>
          <w:rFonts w:ascii="Times New Roman"/>
          <w:b w:val="false"/>
          <w:i w:val="false"/>
          <w:color w:val="000000"/>
          <w:sz w:val="28"/>
        </w:rPr>
        <w:t xml:space="preserve">
      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банковском счете, достаточному для удовлетворения потребностей клиента. </w:t>
      </w:r>
    </w:p>
    <w:bookmarkEnd w:id="14"/>
    <w:bookmarkStart w:name="z21" w:id="15"/>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также признается часть средств на текущих счетах и (или) вкладах до востребования, которые одновременно соответствуют следующим условиям:</w:t>
      </w:r>
    </w:p>
    <w:bookmarkEnd w:id="15"/>
    <w:bookmarkStart w:name="z22" w:id="16"/>
    <w:p>
      <w:pPr>
        <w:spacing w:after="0"/>
        <w:ind w:left="0"/>
        <w:jc w:val="both"/>
      </w:pPr>
      <w:r>
        <w:rPr>
          <w:rFonts w:ascii="Times New Roman"/>
          <w:b w:val="false"/>
          <w:i w:val="false"/>
          <w:color w:val="000000"/>
          <w:sz w:val="28"/>
        </w:rPr>
        <w:t>
      счет открыт и используется клиентом для платежей и (или) переводов не менее или менее 24 (двадцати четырех) месяцев;</w:t>
      </w:r>
    </w:p>
    <w:bookmarkEnd w:id="16"/>
    <w:bookmarkStart w:name="z23" w:id="17"/>
    <w:p>
      <w:pPr>
        <w:spacing w:after="0"/>
        <w:ind w:left="0"/>
        <w:jc w:val="both"/>
      </w:pPr>
      <w:r>
        <w:rPr>
          <w:rFonts w:ascii="Times New Roman"/>
          <w:b w:val="false"/>
          <w:i w:val="false"/>
          <w:color w:val="000000"/>
          <w:sz w:val="28"/>
        </w:rPr>
        <w:t>
      ставка вознаграждения по привлеченным средствам не превышает:</w:t>
      </w:r>
    </w:p>
    <w:bookmarkEnd w:id="17"/>
    <w:bookmarkStart w:name="z24" w:id="18"/>
    <w:p>
      <w:pPr>
        <w:spacing w:after="0"/>
        <w:ind w:left="0"/>
        <w:jc w:val="both"/>
      </w:pPr>
      <w:r>
        <w:rPr>
          <w:rFonts w:ascii="Times New Roman"/>
          <w:b w:val="false"/>
          <w:i w:val="false"/>
          <w:color w:val="000000"/>
          <w:sz w:val="28"/>
        </w:rPr>
        <w:t>
      по текущим счетам – 0 (ноль) процента;</w:t>
      </w:r>
    </w:p>
    <w:bookmarkEnd w:id="18"/>
    <w:bookmarkStart w:name="z25" w:id="19"/>
    <w:p>
      <w:pPr>
        <w:spacing w:after="0"/>
        <w:ind w:left="0"/>
        <w:jc w:val="both"/>
      </w:pPr>
      <w:r>
        <w:rPr>
          <w:rFonts w:ascii="Times New Roman"/>
          <w:b w:val="false"/>
          <w:i w:val="false"/>
          <w:color w:val="000000"/>
          <w:sz w:val="28"/>
        </w:rPr>
        <w:t>
      по вкладам до востребования – 0,1 (ноль целых одну десятую) процента.</w:t>
      </w:r>
    </w:p>
    <w:bookmarkEnd w:id="19"/>
    <w:bookmarkStart w:name="z26" w:id="20"/>
    <w:p>
      <w:pPr>
        <w:spacing w:after="0"/>
        <w:ind w:left="0"/>
        <w:jc w:val="both"/>
      </w:pPr>
      <w:r>
        <w:rPr>
          <w:rFonts w:ascii="Times New Roman"/>
          <w:b w:val="false"/>
          <w:i w:val="false"/>
          <w:color w:val="000000"/>
          <w:sz w:val="28"/>
        </w:rPr>
        <w:t>
      Если счет открыт и используется для платежей и (или) переводов менее 24 (двадцати четырех) месяцев, то в целях признания в качестве вкладов, связанных с клиринговой, кастодиальной деятельностью, деятельностью по управлению ликвидностью клиента, необходимо дополнительно удовлетворять следующим условиям:</w:t>
      </w:r>
    </w:p>
    <w:bookmarkEnd w:id="20"/>
    <w:bookmarkStart w:name="z27" w:id="21"/>
    <w:p>
      <w:pPr>
        <w:spacing w:after="0"/>
        <w:ind w:left="0"/>
        <w:jc w:val="both"/>
      </w:pPr>
      <w:r>
        <w:rPr>
          <w:rFonts w:ascii="Times New Roman"/>
          <w:b w:val="false"/>
          <w:i w:val="false"/>
          <w:color w:val="000000"/>
          <w:sz w:val="28"/>
        </w:rPr>
        <w:t>
      используется как текущий счет или вклад до востребования;</w:t>
      </w:r>
    </w:p>
    <w:bookmarkEnd w:id="21"/>
    <w:bookmarkStart w:name="z28" w:id="22"/>
    <w:p>
      <w:pPr>
        <w:spacing w:after="0"/>
        <w:ind w:left="0"/>
        <w:jc w:val="both"/>
      </w:pPr>
      <w:r>
        <w:rPr>
          <w:rFonts w:ascii="Times New Roman"/>
          <w:b w:val="false"/>
          <w:i w:val="false"/>
          <w:color w:val="000000"/>
          <w:sz w:val="28"/>
        </w:rPr>
        <w:t>
      имеется обязательство перед банком по поддержанию оборотов и (или) минимального остатка денег на счете.</w:t>
      </w:r>
    </w:p>
    <w:bookmarkEnd w:id="22"/>
    <w:bookmarkStart w:name="z29" w:id="23"/>
    <w:p>
      <w:pPr>
        <w:spacing w:after="0"/>
        <w:ind w:left="0"/>
        <w:jc w:val="both"/>
      </w:pPr>
      <w:r>
        <w:rPr>
          <w:rFonts w:ascii="Times New Roman"/>
          <w:b w:val="false"/>
          <w:i w:val="false"/>
          <w:color w:val="000000"/>
          <w:sz w:val="28"/>
        </w:rPr>
        <w:t>
      В случае, когда счет открыт и используется для платежей и (или) переводов менее 24 (двадцати четырех) месяцев, размер вклада, связанного с клиринговой, кастодиальной деятельностью, деятельностью по управлению ликвидностью клиента, рассчитывается как средняя величина остатков на текущем счете или вкладе до востребования с даты возникновения обязательства.</w:t>
      </w:r>
    </w:p>
    <w:bookmarkEnd w:id="23"/>
    <w:bookmarkStart w:name="z30" w:id="24"/>
    <w:p>
      <w:pPr>
        <w:spacing w:after="0"/>
        <w:ind w:left="0"/>
        <w:jc w:val="both"/>
      </w:pPr>
      <w:r>
        <w:rPr>
          <w:rFonts w:ascii="Times New Roman"/>
          <w:b w:val="false"/>
          <w:i w:val="false"/>
          <w:color w:val="000000"/>
          <w:sz w:val="28"/>
        </w:rPr>
        <w:t>
      Банк разрабатывает методику определения минимального остатка денег на банковском счете, достаточного для удовлетворения потребностей клиента, которая основана на расчете средних величин остатков на счете.</w:t>
      </w:r>
    </w:p>
    <w:bookmarkEnd w:id="24"/>
    <w:bookmarkStart w:name="z31" w:id="25"/>
    <w:p>
      <w:pPr>
        <w:spacing w:after="0"/>
        <w:ind w:left="0"/>
        <w:jc w:val="both"/>
      </w:pPr>
      <w:r>
        <w:rPr>
          <w:rFonts w:ascii="Times New Roman"/>
          <w:b w:val="false"/>
          <w:i w:val="false"/>
          <w:color w:val="000000"/>
          <w:sz w:val="28"/>
        </w:rPr>
        <w:t>
      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банка, взвешенных по степени кредитного риска вложений, согласно приложению 5 к Нормативам, и иные обязательства, обеспечение по которым не является высококачественным ликвидным активом первого или второго уровней.</w:t>
      </w:r>
    </w:p>
    <w:bookmarkEnd w:id="25"/>
    <w:bookmarkStart w:name="z32" w:id="26"/>
    <w:p>
      <w:pPr>
        <w:spacing w:after="0"/>
        <w:ind w:left="0"/>
        <w:jc w:val="both"/>
      </w:pPr>
      <w:r>
        <w:rPr>
          <w:rFonts w:ascii="Times New Roman"/>
          <w:b w:val="false"/>
          <w:i w:val="false"/>
          <w:color w:val="000000"/>
          <w:sz w:val="28"/>
        </w:rPr>
        <w:t xml:space="preserve">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w:t>
      </w:r>
      <w:r>
        <w:rPr>
          <w:rFonts w:ascii="Times New Roman"/>
          <w:b w:val="false"/>
          <w:i w:val="false"/>
          <w:color w:val="000000"/>
          <w:sz w:val="28"/>
        </w:rPr>
        <w:t>Таблице</w:t>
      </w:r>
      <w:r>
        <w:rPr>
          <w:rFonts w:ascii="Times New Roman"/>
          <w:b w:val="false"/>
          <w:i w:val="false"/>
          <w:color w:val="000000"/>
          <w:sz w:val="28"/>
        </w:rPr>
        <w:t xml:space="preserve"> денежных оттоков и притоков банка согласно приложению 14 к Нормативам. Дополнительный денежный отток по условным обязательствам, сделкам с производными финансовыми инструментами и иным операциям включает:</w:t>
      </w:r>
    </w:p>
    <w:bookmarkEnd w:id="26"/>
    <w:bookmarkStart w:name="z33" w:id="27"/>
    <w:p>
      <w:pPr>
        <w:spacing w:after="0"/>
        <w:ind w:left="0"/>
        <w:jc w:val="both"/>
      </w:pP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банка на 1 (одну), 2 (две) либо 3 (три) ступени от текущего рейтинга банка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bookmarkEnd w:id="27"/>
    <w:bookmarkStart w:name="z34" w:id="28"/>
    <w:p>
      <w:pPr>
        <w:spacing w:after="0"/>
        <w:ind w:left="0"/>
        <w:jc w:val="both"/>
      </w:pP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bookmarkEnd w:id="28"/>
    <w:bookmarkStart w:name="z35" w:id="29"/>
    <w:p>
      <w:pPr>
        <w:spacing w:after="0"/>
        <w:ind w:left="0"/>
        <w:jc w:val="both"/>
      </w:pPr>
      <w:r>
        <w:rPr>
          <w:rFonts w:ascii="Times New Roman"/>
          <w:b w:val="false"/>
          <w:i w:val="false"/>
          <w:color w:val="000000"/>
          <w:sz w:val="28"/>
        </w:rPr>
        <w:t xml:space="preserve">
      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w:t>
      </w:r>
      <w:r>
        <w:rPr>
          <w:rFonts w:ascii="Times New Roman"/>
          <w:b w:val="false"/>
          <w:i w:val="false"/>
          <w:color w:val="000000"/>
          <w:sz w:val="28"/>
        </w:rPr>
        <w:t>Таблице</w:t>
      </w:r>
      <w:r>
        <w:rPr>
          <w:rFonts w:ascii="Times New Roman"/>
          <w:b w:val="false"/>
          <w:i w:val="false"/>
          <w:color w:val="000000"/>
          <w:sz w:val="28"/>
        </w:rPr>
        <w:t xml:space="preserve"> высококачественных ликвидных активов банка согласно приложению 13 к Нормативам,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bookmarkEnd w:id="29"/>
    <w:bookmarkStart w:name="z36" w:id="30"/>
    <w:p>
      <w:pPr>
        <w:spacing w:after="0"/>
        <w:ind w:left="0"/>
        <w:jc w:val="both"/>
      </w:pP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bookmarkEnd w:id="30"/>
    <w:bookmarkStart w:name="z37" w:id="31"/>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предоставление банком обеспечения, и право контрагента на требование обеспечения в соответствии с условиями договора, в случае если обеспечение не предоставлено;</w:t>
      </w:r>
    </w:p>
    <w:bookmarkEnd w:id="31"/>
    <w:bookmarkStart w:name="z38" w:id="32"/>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bookmarkEnd w:id="32"/>
    <w:bookmarkStart w:name="z39" w:id="33"/>
    <w:p>
      <w:pPr>
        <w:spacing w:after="0"/>
        <w:ind w:left="0"/>
        <w:jc w:val="both"/>
      </w:pPr>
      <w:r>
        <w:rPr>
          <w:rFonts w:ascii="Times New Roman"/>
          <w:b w:val="false"/>
          <w:i w:val="false"/>
          <w:color w:val="000000"/>
          <w:sz w:val="28"/>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bookmarkEnd w:id="33"/>
    <w:bookmarkStart w:name="z40" w:id="34"/>
    <w:p>
      <w:pPr>
        <w:spacing w:after="0"/>
        <w:ind w:left="0"/>
        <w:jc w:val="both"/>
      </w:pPr>
      <w:r>
        <w:rPr>
          <w:rFonts w:ascii="Times New Roman"/>
          <w:b w:val="false"/>
          <w:i w:val="false"/>
          <w:color w:val="000000"/>
          <w:sz w:val="28"/>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bookmarkEnd w:id="34"/>
    <w:bookmarkStart w:name="z41" w:id="35"/>
    <w:p>
      <w:pPr>
        <w:spacing w:after="0"/>
        <w:ind w:left="0"/>
        <w:jc w:val="both"/>
      </w:pPr>
      <w:r>
        <w:rPr>
          <w:rFonts w:ascii="Times New Roman"/>
          <w:b w:val="false"/>
          <w:i w:val="false"/>
          <w:color w:val="000000"/>
          <w:sz w:val="28"/>
        </w:rPr>
        <w:t>
      Под дочерними специальными организациями банка понимаются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p>
    <w:bookmarkEnd w:id="35"/>
    <w:bookmarkStart w:name="z42" w:id="36"/>
    <w:p>
      <w:pPr>
        <w:spacing w:after="0"/>
        <w:ind w:left="0"/>
        <w:jc w:val="both"/>
      </w:pPr>
      <w:r>
        <w:rPr>
          <w:rFonts w:ascii="Times New Roman"/>
          <w:b w:val="false"/>
          <w:i w:val="false"/>
          <w:color w:val="000000"/>
          <w:sz w:val="28"/>
        </w:rPr>
        <w:t>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bookmarkEnd w:id="36"/>
    <w:bookmarkStart w:name="z43" w:id="37"/>
    <w:p>
      <w:pPr>
        <w:spacing w:after="0"/>
        <w:ind w:left="0"/>
        <w:jc w:val="both"/>
      </w:pPr>
      <w:r>
        <w:rPr>
          <w:rFonts w:ascii="Times New Roman"/>
          <w:b w:val="false"/>
          <w:i w:val="false"/>
          <w:color w:val="000000"/>
          <w:sz w:val="28"/>
        </w:rPr>
        <w:t>
      Под линией ликвидности понимаются следующие обязательства банка:</w:t>
      </w:r>
    </w:p>
    <w:bookmarkEnd w:id="37"/>
    <w:bookmarkStart w:name="z44" w:id="38"/>
    <w:p>
      <w:pPr>
        <w:spacing w:after="0"/>
        <w:ind w:left="0"/>
        <w:jc w:val="both"/>
      </w:pPr>
      <w:r>
        <w:rPr>
          <w:rFonts w:ascii="Times New Roman"/>
          <w:b w:val="false"/>
          <w:i w:val="false"/>
          <w:color w:val="000000"/>
          <w:sz w:val="28"/>
        </w:rPr>
        <w:t>
      по предоставлению денег клиенту для погашения ранее выпущенных клиентом ценных бумаг;</w:t>
      </w:r>
    </w:p>
    <w:bookmarkEnd w:id="38"/>
    <w:bookmarkStart w:name="z45" w:id="39"/>
    <w:p>
      <w:pPr>
        <w:spacing w:after="0"/>
        <w:ind w:left="0"/>
        <w:jc w:val="both"/>
      </w:pP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bookmarkEnd w:id="39"/>
    <w:bookmarkStart w:name="z46" w:id="40"/>
    <w:p>
      <w:pPr>
        <w:spacing w:after="0"/>
        <w:ind w:left="0"/>
        <w:jc w:val="both"/>
      </w:pPr>
      <w:r>
        <w:rPr>
          <w:rFonts w:ascii="Times New Roman"/>
          <w:b w:val="false"/>
          <w:i w:val="false"/>
          <w:color w:val="000000"/>
          <w:sz w:val="28"/>
        </w:rPr>
        <w:t>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bookmarkEnd w:id="40"/>
    <w:bookmarkStart w:name="z47" w:id="41"/>
    <w:p>
      <w:pPr>
        <w:spacing w:after="0"/>
        <w:ind w:left="0"/>
        <w:jc w:val="both"/>
      </w:pP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bookmarkEnd w:id="41"/>
    <w:bookmarkStart w:name="z48" w:id="42"/>
    <w:p>
      <w:pPr>
        <w:spacing w:after="0"/>
        <w:ind w:left="0"/>
        <w:jc w:val="both"/>
      </w:pPr>
      <w:r>
        <w:rPr>
          <w:rFonts w:ascii="Times New Roman"/>
          <w:b w:val="false"/>
          <w:i w:val="false"/>
          <w:color w:val="000000"/>
          <w:sz w:val="28"/>
        </w:rPr>
        <w:t>
      являются высококачественными ликвидными активами первого или второго уровней;</w:t>
      </w:r>
    </w:p>
    <w:bookmarkEnd w:id="42"/>
    <w:bookmarkStart w:name="z49" w:id="43"/>
    <w:p>
      <w:pPr>
        <w:spacing w:after="0"/>
        <w:ind w:left="0"/>
        <w:jc w:val="both"/>
      </w:pPr>
      <w:r>
        <w:rPr>
          <w:rFonts w:ascii="Times New Roman"/>
          <w:b w:val="false"/>
          <w:i w:val="false"/>
          <w:color w:val="000000"/>
          <w:sz w:val="28"/>
        </w:rPr>
        <w:t>
      не включены в состав высококачественных ликвидных активов банка;</w:t>
      </w:r>
    </w:p>
    <w:bookmarkEnd w:id="43"/>
    <w:bookmarkStart w:name="z50" w:id="44"/>
    <w:p>
      <w:pPr>
        <w:spacing w:after="0"/>
        <w:ind w:left="0"/>
        <w:jc w:val="both"/>
      </w:pPr>
      <w:r>
        <w:rPr>
          <w:rFonts w:ascii="Times New Roman"/>
          <w:b w:val="false"/>
          <w:i w:val="false"/>
          <w:color w:val="000000"/>
          <w:sz w:val="28"/>
        </w:rPr>
        <w:t>
      доступны для проведения операций, совершаемых на возвратной основе;</w:t>
      </w:r>
    </w:p>
    <w:bookmarkEnd w:id="44"/>
    <w:bookmarkStart w:name="z51" w:id="45"/>
    <w:p>
      <w:pPr>
        <w:spacing w:after="0"/>
        <w:ind w:left="0"/>
        <w:jc w:val="both"/>
      </w:pPr>
      <w:r>
        <w:rPr>
          <w:rFonts w:ascii="Times New Roman"/>
          <w:b w:val="false"/>
          <w:i w:val="false"/>
          <w:color w:val="000000"/>
          <w:sz w:val="28"/>
        </w:rPr>
        <w:t>
      отсутствует право на предъявление требований о досрочном возврате.</w:t>
      </w:r>
    </w:p>
    <w:bookmarkEnd w:id="45"/>
    <w:bookmarkStart w:name="z52" w:id="46"/>
    <w:p>
      <w:pPr>
        <w:spacing w:after="0"/>
        <w:ind w:left="0"/>
        <w:jc w:val="both"/>
      </w:pPr>
      <w:r>
        <w:rPr>
          <w:rFonts w:ascii="Times New Roman"/>
          <w:b w:val="false"/>
          <w:i w:val="false"/>
          <w:color w:val="000000"/>
          <w:sz w:val="28"/>
        </w:rPr>
        <w:t xml:space="preserve">
      Если дополнительные денежные оттоки по обязательствам перед физическими лицами и нефинансовыми организациями, не учтенные в строках 20, 21, 22, 23, 24, 25 и 26 </w:t>
      </w:r>
      <w:r>
        <w:rPr>
          <w:rFonts w:ascii="Times New Roman"/>
          <w:b w:val="false"/>
          <w:i w:val="false"/>
          <w:color w:val="000000"/>
          <w:sz w:val="28"/>
        </w:rPr>
        <w:t>Таблицы</w:t>
      </w:r>
      <w:r>
        <w:rPr>
          <w:rFonts w:ascii="Times New Roman"/>
          <w:b w:val="false"/>
          <w:i w:val="false"/>
          <w:color w:val="000000"/>
          <w:sz w:val="28"/>
        </w:rPr>
        <w:t xml:space="preserve"> денежных оттоков и притоков банка согласно приложению 14 к Нормативам,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29 Таблицы денежных оттоков и притоков банка согласно приложению 14 к Нормативам.";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54" w:id="47"/>
    <w:p>
      <w:pPr>
        <w:spacing w:after="0"/>
        <w:ind w:left="0"/>
        <w:jc w:val="both"/>
      </w:pPr>
      <w:r>
        <w:rPr>
          <w:rFonts w:ascii="Times New Roman"/>
          <w:b w:val="false"/>
          <w:i w:val="false"/>
          <w:color w:val="000000"/>
          <w:sz w:val="28"/>
        </w:rPr>
        <w:t>
      "80. Коэффициент нетто стабильного фондирования рассчитывается как отношение доступного стабильного фондирования к требуемому стабильному фондированию.</w:t>
      </w:r>
    </w:p>
    <w:bookmarkEnd w:id="47"/>
    <w:bookmarkStart w:name="z55" w:id="48"/>
    <w:p>
      <w:pPr>
        <w:spacing w:after="0"/>
        <w:ind w:left="0"/>
        <w:jc w:val="both"/>
      </w:pPr>
      <w:r>
        <w:rPr>
          <w:rFonts w:ascii="Times New Roman"/>
          <w:b w:val="false"/>
          <w:i w:val="false"/>
          <w:color w:val="000000"/>
          <w:sz w:val="28"/>
        </w:rPr>
        <w:t xml:space="preserve">
      Размер доступного стабильного фондирования рассчитывается как сумма обязательств, согласно данным бухгалтерского баланса, и собственного капитала до вычета положительных разниц, указанных в </w:t>
      </w:r>
      <w:r>
        <w:rPr>
          <w:rFonts w:ascii="Times New Roman"/>
          <w:b w:val="false"/>
          <w:i w:val="false"/>
          <w:color w:val="000000"/>
          <w:sz w:val="28"/>
        </w:rPr>
        <w:t>пункте 7</w:t>
      </w:r>
      <w:r>
        <w:rPr>
          <w:rFonts w:ascii="Times New Roman"/>
          <w:b w:val="false"/>
          <w:i w:val="false"/>
          <w:color w:val="000000"/>
          <w:sz w:val="28"/>
        </w:rPr>
        <w:t xml:space="preserve"> Нормативов, и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 умноженных на коэффициенты доступного стабильного фондирования, установленные в </w:t>
      </w:r>
      <w:r>
        <w:rPr>
          <w:rFonts w:ascii="Times New Roman"/>
          <w:b w:val="false"/>
          <w:i w:val="false"/>
          <w:color w:val="000000"/>
          <w:sz w:val="28"/>
        </w:rPr>
        <w:t>Таблице</w:t>
      </w:r>
      <w:r>
        <w:rPr>
          <w:rFonts w:ascii="Times New Roman"/>
          <w:b w:val="false"/>
          <w:i w:val="false"/>
          <w:color w:val="000000"/>
          <w:sz w:val="28"/>
        </w:rPr>
        <w:t xml:space="preserve"> обязательств доступного стабильного фондирования в соответствии с приложением 15 к Нормативам. </w:t>
      </w:r>
    </w:p>
    <w:bookmarkEnd w:id="48"/>
    <w:bookmarkStart w:name="z56" w:id="49"/>
    <w:p>
      <w:pPr>
        <w:spacing w:after="0"/>
        <w:ind w:left="0"/>
        <w:jc w:val="both"/>
      </w:pPr>
      <w:r>
        <w:rPr>
          <w:rFonts w:ascii="Times New Roman"/>
          <w:b w:val="false"/>
          <w:i w:val="false"/>
          <w:color w:val="000000"/>
          <w:sz w:val="28"/>
        </w:rPr>
        <w:t xml:space="preserve">
      Депозиты физических лиц включаются в расчет доступного стабильного фондирования как стабильные и менее стабильные депозиты в соответствии с частями второй и третьей </w:t>
      </w:r>
      <w:r>
        <w:rPr>
          <w:rFonts w:ascii="Times New Roman"/>
          <w:b w:val="false"/>
          <w:i w:val="false"/>
          <w:color w:val="000000"/>
          <w:sz w:val="28"/>
        </w:rPr>
        <w:t>пункта 77</w:t>
      </w:r>
      <w:r>
        <w:rPr>
          <w:rFonts w:ascii="Times New Roman"/>
          <w:b w:val="false"/>
          <w:i w:val="false"/>
          <w:color w:val="000000"/>
          <w:sz w:val="28"/>
        </w:rPr>
        <w:t xml:space="preserve"> Нормативов.</w:t>
      </w:r>
    </w:p>
    <w:bookmarkEnd w:id="49"/>
    <w:bookmarkStart w:name="z57" w:id="50"/>
    <w:p>
      <w:pPr>
        <w:spacing w:after="0"/>
        <w:ind w:left="0"/>
        <w:jc w:val="both"/>
      </w:pPr>
      <w:r>
        <w:rPr>
          <w:rFonts w:ascii="Times New Roman"/>
          <w:b w:val="false"/>
          <w:i w:val="false"/>
          <w:color w:val="000000"/>
          <w:sz w:val="28"/>
        </w:rPr>
        <w:t xml:space="preserve">
      В качестве вкладов, связанных с клиринговой, кастодиальной деятельностью, деятельностью по управлению ликвидностью клиента, признаются текущие счета и вклады до востребования, которые соответствуют частям восьмой, девятой, десятой и одиннадцатой пункта 77 Нормативов. </w:t>
      </w:r>
    </w:p>
    <w:bookmarkEnd w:id="50"/>
    <w:bookmarkStart w:name="z58" w:id="51"/>
    <w:p>
      <w:pPr>
        <w:spacing w:after="0"/>
        <w:ind w:left="0"/>
        <w:jc w:val="both"/>
      </w:pPr>
      <w:r>
        <w:rPr>
          <w:rFonts w:ascii="Times New Roman"/>
          <w:b w:val="false"/>
          <w:i w:val="false"/>
          <w:color w:val="000000"/>
          <w:sz w:val="28"/>
        </w:rPr>
        <w:t xml:space="preserve">
      Размер требуемого стабильного фондирования рассчитывается в совокупности как активы, согласно данным бухгалтерского баланса, умноженные на коэффициенты требуемого стабильного фондирования, установленные в </w:t>
      </w:r>
      <w:r>
        <w:rPr>
          <w:rFonts w:ascii="Times New Roman"/>
          <w:b w:val="false"/>
          <w:i w:val="false"/>
          <w:color w:val="000000"/>
          <w:sz w:val="28"/>
        </w:rPr>
        <w:t>Таблице</w:t>
      </w:r>
      <w:r>
        <w:rPr>
          <w:rFonts w:ascii="Times New Roman"/>
          <w:b w:val="false"/>
          <w:i w:val="false"/>
          <w:color w:val="000000"/>
          <w:sz w:val="28"/>
        </w:rPr>
        <w:t xml:space="preserve"> активов требуемого стабильного фондирования согласно приложению 16 к Нормативам,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w:t>
      </w:r>
      <w:r>
        <w:rPr>
          <w:rFonts w:ascii="Times New Roman"/>
          <w:b w:val="false"/>
          <w:i w:val="false"/>
          <w:color w:val="000000"/>
          <w:sz w:val="28"/>
        </w:rPr>
        <w:t>Таблице</w:t>
      </w:r>
      <w:r>
        <w:rPr>
          <w:rFonts w:ascii="Times New Roman"/>
          <w:b w:val="false"/>
          <w:i w:val="false"/>
          <w:color w:val="000000"/>
          <w:sz w:val="28"/>
        </w:rPr>
        <w:t xml:space="preserve"> условных и возможных обязательств требуемого стабильного фондирования согласно приложению 17 к Нормативам.";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обязательств доступного стабильного фондирования согласно приложению 15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активов требуемого стабильного фондирования согласно приложению 16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условных и возможных обязательств требуемого стабильного фондирования согласно приложению 17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62" w:id="52"/>
    <w:p>
      <w:pPr>
        <w:spacing w:after="0"/>
        <w:ind w:left="0"/>
        <w:jc w:val="both"/>
      </w:pPr>
      <w:r>
        <w:rPr>
          <w:rFonts w:ascii="Times New Roman"/>
          <w:b w:val="false"/>
          <w:i w:val="false"/>
          <w:color w:val="000000"/>
          <w:sz w:val="28"/>
        </w:rPr>
        <w:t>
      2. Департаменту методологии финансового рынка (Салимбаев Д.Н.) в установленном законодательством Республики Казахстан порядке обеспечить:</w:t>
      </w:r>
    </w:p>
    <w:bookmarkEnd w:id="52"/>
    <w:bookmarkStart w:name="z63" w:id="5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53"/>
    <w:bookmarkStart w:name="z64" w:id="5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4"/>
    <w:bookmarkStart w:name="z65" w:id="5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5"/>
    <w:bookmarkStart w:name="z66" w:id="5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56"/>
    <w:bookmarkStart w:name="z67" w:id="5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57"/>
    <w:bookmarkStart w:name="z68" w:id="5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58"/>
    <w:bookmarkStart w:name="z69" w:id="59"/>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строки 10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 которая вводится в действие с 1 января 2021 года.</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71" w:id="6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w:t>
      </w:r>
      <w:r>
        <w:br/>
      </w:r>
      <w:r>
        <w:rPr>
          <w:rFonts w:ascii="Times New Roman"/>
          <w:b w:val="false"/>
          <w:i w:val="false"/>
          <w:color w:val="000000"/>
          <w:sz w:val="28"/>
        </w:rPr>
        <w:t xml:space="preserve">"___" _____________ 2019 года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размера капитала банка на</w:t>
            </w:r>
            <w:r>
              <w:br/>
            </w:r>
            <w:r>
              <w:rPr>
                <w:rFonts w:ascii="Times New Roman"/>
                <w:b w:val="false"/>
                <w:i w:val="false"/>
                <w:color w:val="000000"/>
                <w:sz w:val="20"/>
              </w:rPr>
              <w:t>определенную дату и Правил</w:t>
            </w:r>
            <w:r>
              <w:br/>
            </w:r>
            <w:r>
              <w:rPr>
                <w:rFonts w:ascii="Times New Roman"/>
                <w:b w:val="false"/>
                <w:i w:val="false"/>
                <w:color w:val="000000"/>
                <w:sz w:val="20"/>
              </w:rPr>
              <w:t>расчета и лимитов открытой</w:t>
            </w:r>
            <w:r>
              <w:br/>
            </w:r>
            <w:r>
              <w:rPr>
                <w:rFonts w:ascii="Times New Roman"/>
                <w:b w:val="false"/>
                <w:i w:val="false"/>
                <w:color w:val="000000"/>
                <w:sz w:val="20"/>
              </w:rPr>
              <w:t>валютной позиции</w:t>
            </w:r>
          </w:p>
        </w:tc>
      </w:tr>
    </w:tbl>
    <w:bookmarkStart w:name="z74" w:id="61"/>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9187"/>
        <w:gridCol w:w="1795"/>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включается до вычетов, установленных пунктами 7 и 11 Нормативов (за исключением инструментов капитала второго уровня со сроком погашения менее 1 (одного) года)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размера капитала банка на</w:t>
            </w:r>
            <w:r>
              <w:br/>
            </w:r>
            <w:r>
              <w:rPr>
                <w:rFonts w:ascii="Times New Roman"/>
                <w:b w:val="false"/>
                <w:i w:val="false"/>
                <w:color w:val="000000"/>
                <w:sz w:val="20"/>
              </w:rPr>
              <w:t>определенную дату и Правил</w:t>
            </w:r>
            <w:r>
              <w:br/>
            </w:r>
            <w:r>
              <w:rPr>
                <w:rFonts w:ascii="Times New Roman"/>
                <w:b w:val="false"/>
                <w:i w:val="false"/>
                <w:color w:val="000000"/>
                <w:sz w:val="20"/>
              </w:rPr>
              <w:t>расчета и лимитов открытой</w:t>
            </w:r>
            <w:r>
              <w:br/>
            </w:r>
            <w:r>
              <w:rPr>
                <w:rFonts w:ascii="Times New Roman"/>
                <w:b w:val="false"/>
                <w:i w:val="false"/>
                <w:color w:val="000000"/>
                <w:sz w:val="20"/>
              </w:rPr>
              <w:t>валютной позиции</w:t>
            </w:r>
          </w:p>
        </w:tc>
      </w:tr>
    </w:tbl>
    <w:bookmarkStart w:name="z77" w:id="62"/>
    <w:p>
      <w:pPr>
        <w:spacing w:after="0"/>
        <w:ind w:left="0"/>
        <w:jc w:val="left"/>
      </w:pPr>
      <w:r>
        <w:rPr>
          <w:rFonts w:ascii="Times New Roman"/>
          <w:b/>
          <w:i w:val="false"/>
          <w:color w:val="000000"/>
        </w:rPr>
        <w:t xml:space="preserve"> Таблица активов требуемого стабильного фондирования</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0071"/>
        <w:gridCol w:w="1285"/>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размера капитала банка на</w:t>
            </w:r>
            <w:r>
              <w:br/>
            </w:r>
            <w:r>
              <w:rPr>
                <w:rFonts w:ascii="Times New Roman"/>
                <w:b w:val="false"/>
                <w:i w:val="false"/>
                <w:color w:val="000000"/>
                <w:sz w:val="20"/>
              </w:rPr>
              <w:t>определенную дату и Правил</w:t>
            </w:r>
            <w:r>
              <w:br/>
            </w:r>
            <w:r>
              <w:rPr>
                <w:rFonts w:ascii="Times New Roman"/>
                <w:b w:val="false"/>
                <w:i w:val="false"/>
                <w:color w:val="000000"/>
                <w:sz w:val="20"/>
              </w:rPr>
              <w:t>расчета и лимитов открытой</w:t>
            </w:r>
            <w:r>
              <w:br/>
            </w:r>
            <w:r>
              <w:rPr>
                <w:rFonts w:ascii="Times New Roman"/>
                <w:b w:val="false"/>
                <w:i w:val="false"/>
                <w:color w:val="000000"/>
                <w:sz w:val="20"/>
              </w:rPr>
              <w:t>валютной позиции</w:t>
            </w:r>
          </w:p>
        </w:tc>
      </w:tr>
    </w:tbl>
    <w:bookmarkStart w:name="z80" w:id="63"/>
    <w:p>
      <w:pPr>
        <w:spacing w:after="0"/>
        <w:ind w:left="0"/>
        <w:jc w:val="left"/>
      </w:pPr>
      <w:r>
        <w:rPr>
          <w:rFonts w:ascii="Times New Roman"/>
          <w:b/>
          <w:i w:val="false"/>
          <w:color w:val="000000"/>
        </w:rPr>
        <w:t xml:space="preserve"> Таблица условных и возможных обязательств требуемого стабильного фондирования</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7969"/>
        <w:gridCol w:w="2940"/>
      </w:tblGrid>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Иные обязательства, включая следующие инструменты:</w:t>
            </w:r>
            <w:r>
              <w:br/>
            </w:r>
            <w:r>
              <w:rPr>
                <w:rFonts w:ascii="Times New Roman"/>
                <w:b w:val="false"/>
                <w:i w:val="false"/>
                <w:color w:val="000000"/>
                <w:sz w:val="20"/>
              </w:rPr>
              <w:t>
</w:t>
            </w:r>
            <w:r>
              <w:rPr>
                <w:rFonts w:ascii="Times New Roman"/>
                <w:b w:val="false"/>
                <w:i w:val="false"/>
                <w:color w:val="000000"/>
                <w:sz w:val="20"/>
              </w:rPr>
              <w:t>безусловно отзывные кредитные линии и линии ликвидности;</w:t>
            </w:r>
            <w:r>
              <w:br/>
            </w:r>
            <w:r>
              <w:rPr>
                <w:rFonts w:ascii="Times New Roman"/>
                <w:b w:val="false"/>
                <w:i w:val="false"/>
                <w:color w:val="000000"/>
                <w:sz w:val="20"/>
              </w:rPr>
              <w:t>
</w:t>
            </w:r>
            <w:r>
              <w:rPr>
                <w:rFonts w:ascii="Times New Roman"/>
                <w:b w:val="false"/>
                <w:i w:val="false"/>
                <w:color w:val="000000"/>
                <w:sz w:val="20"/>
              </w:rPr>
              <w:t>обязательства по торговому финансированию (включая гарантии и поручительства);</w:t>
            </w:r>
            <w:r>
              <w:br/>
            </w:r>
            <w:r>
              <w:rPr>
                <w:rFonts w:ascii="Times New Roman"/>
                <w:b w:val="false"/>
                <w:i w:val="false"/>
                <w:color w:val="000000"/>
                <w:sz w:val="20"/>
              </w:rPr>
              <w:t>
</w:t>
            </w:r>
            <w:r>
              <w:rPr>
                <w:rFonts w:ascii="Times New Roman"/>
                <w:b w:val="false"/>
                <w:i w:val="false"/>
                <w:color w:val="000000"/>
                <w:sz w:val="20"/>
              </w:rPr>
              <w:t>гарантии и поручительства, не связанные с финансированием экспорта и импорта товаров и услуг;</w:t>
            </w:r>
            <w:r>
              <w:br/>
            </w:r>
            <w:r>
              <w:rPr>
                <w:rFonts w:ascii="Times New Roman"/>
                <w:b w:val="false"/>
                <w:i w:val="false"/>
                <w:color w:val="000000"/>
                <w:sz w:val="20"/>
              </w:rPr>
              <w:t>
не контрактные обязательства, включая, возможные требования к выкупу долга, выпущенного банком, или связанного с структурированными продуктами</w:t>
            </w:r>
          </w:p>
          <w:bookmarkEnd w:id="64"/>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