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7411" w14:textId="59e7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декабря 2018 года № 31-2. Зарегистрировано Департаментом юстиции Западно-Казахстанской области 9 января 2019 года № 5504. Утратило силу решением Таскалинского районного маслихата Западно-Казахстанской области от 21 февраля 2020 года № 44-3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 декабря 2014 года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2019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Таскалинского районного маслихата Западно-Казахстанской области от 08.10.2019 </w:t>
      </w:r>
      <w:r>
        <w:rPr>
          <w:rFonts w:ascii="Times New Roman"/>
          <w:b w:val="false"/>
          <w:i w:val="false"/>
          <w:color w:val="000000"/>
          <w:sz w:val="28"/>
        </w:rPr>
        <w:t>№ 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12 февраля 2018 года №21-1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2018 году" (зарегистрированное в Реестре государственной регистрации нормативных правовых актов №5067, опубликованное 5 марта 2018 года в Эталонном контрольном банке нормативных правовых актов Республики Казахстан);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Кенжешева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