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4eb7" w14:textId="7974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мая 2018 года № 16-4. Зарегистрировано Департаментом юстиции Западно-Казахстанской области 24 мая 2018 года № 5207. Утратило силу решением Бокейординского районного маслихата Западно-Казахстанской области от 10 июня 2024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№15630)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Бокейординского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 января 2020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 16-4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собрания местного сообщества сельских округов Бокейординского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решения Бокейординского районного маслихата Западно-Казахстанской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Регламент собрания местного сообщества сельских округов Бокейординского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которые используются в настоящем Регламенте: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созыва собрания местного сообщества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Собрание проводится по текущим вопросам местного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Бокейординского района (далее – аким района) кандидатур на должность акима сельского округа для дальнейшего внесения в избирательную комиссию Бокейординского района для регистрации в качестве кандидата в акимы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Созыв собрания открывает аким или уполномоченное им лицо.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 созыв собрания приглашаются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принятия решений собранием местного сообщества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Бокейординский районный маслихат (далее - маслихат).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Контроль за исполнением решений собрания местного сообщества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собрании регулярно заслушиваются информации лиц ответственных за исполнение решений собрания.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 дисциплинарной ответственности должностных лиц перед акимом района или вышестоящими руководителями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