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103b" w14:textId="976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2018 года № 113. Зарегистрировано Департаментом юстиции Западно-Казахстанской области 11 июня 2018 года № 5238.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страхование уплачиваются государством".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(Кадырова 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Оспанкулова Г.А.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2018 года № 113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в области образования города Уральска, районов области и организациями дошкольного, среднего, технического и профессионального образования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(далее - Стандарт), утвержденный приказом Министра образования и науки Республики Казахстан от 10 января 2018 года № 6 "Об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 в Министерстве юстиции Республики Казахстан 6 февраля 2018 года № 16314).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(далее-услугополучатель) бесплатно.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подача услуполучателем либо его законным представителем (с представлением документов, подтверждающие полномочия на представительство) необходимых документов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(далее-документы).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20 (двадцати) минут проверяет полноту представленных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перечню документов принимает, регистрирует и направляет руководителю услугодателя для рассмотрения.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зарегистрированное заявление с входящим номером.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сотрудник канцелярии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20 (двадцати) минут рассматривает и направляет документы ответственному исполнителю услугодателя с резолюцией для подготовки результата государственной услуги.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резолюция руководителя услугодателя.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зависимости от категории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ответственный исполнитель услугодателя в течение 1 (одного) рабочего дня готовит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 в течении 5 (пяти) рабочих дней;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завершившим обучение по очной форме обучения в организациях среднего, технического и профессионального, послесреднего образования в течение 3 (трех) календарных месяцев, следующих за месяцем, в котором завершено обучение.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20 (двадцати) минут подписывает и направляет результат государственной услуги в канцелярию услугодателя.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20 (двадцати) минут регистрирует и выдает услугополучателю результат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результата государственной услуги.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"Актуализация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лице, за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уплачиваются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