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40e" w14:textId="f85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в Урд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июня 2018 года № 28-287/VI. Зарегистрировано Управлением юстиции Урджарского района Департамента юстиции Восточно-Казахстанской области 2 июля 2018 года № 5-18-159. Утратило силу решением Урджарского районного маслихата Восточно-Казахстанской области от 24 июня 2020 года № 53-65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№ 120-VI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Урджарского района, в месяц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овой автомат без выигрыша, предназначенный для проведения игры с одним игроком – 4 месячных расчетных показател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овой автомат без выигрыша, предназначенный для проведения игры с участием более одного игрока – 6 месячных расчетных показател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ьный компьютер, используемый для проведения игры – 2 месячных расчетных показател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гровая дорожка – 22 месячных расчетных показател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– 8 месячных расчетных показател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ный стол - 7 месячных расчетных показател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ный пункт уполномоченной организации, расположенный в населенном пункте, за исключением специальной зоны - 10 месячных расчетных показател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шении на государственном языке внесен пункт 2, в русском языке пункт 2 не предусмотре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