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240e" w14:textId="f852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в Урджарском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июня 2018 года № 28-287/VI. Зарегистрировано Управлением юстиции Урджарского района Департамента юстиции Восточно-Казахстанской области 2 июля 2018 года № 5-18-159. Утратило силу решением Урджарского районного маслихата Восточно-Казахстанской области от 24 июня 2020 года № 53-655/VI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53-655/VI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№ 120-VI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Урджарского района, в месяц: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игровой автомат без выигрыша, предназначенный для проведения игры с одним игроком – 4 месячных расчетных показателя;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игровой автомат без выигрыша, предназначенный для проведения игры с участием более одного игрока – 6 месячных расчетных показателя;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персональный компьютер, используемый для проведения игры – 2 месячных расчетных показателя;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игровая дорожка – 22 месячных расчетных показателя;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 – 8 месячных расчетных показателя;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бильярдный стол - 7 месячных расчетных показателя;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обменный пункт уполномоченной организации, расположенный в населенном пункте, за исключением специальной зоны - 10 месячных расчетных показателя.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решении на государственном языке внесен пункт 2, в русском языке пункт 2 не предусмотрен.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