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57914" w14:textId="1b579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собрания местного сообщеста города районного значения, сельских округов Зайсанского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5 июля 2018 года № 28-1. Зарегистрировано Управлением юстиции Зайсанского района Департамента юстиции Восточно-Казахстанской области 24 июля 2018 года № 5-11-162. Утратило силу решением Зайсанского районного маслихата Восточно-Казахстанской области от 11 марта 2024 года № 01-03/VIII-19/1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Зайсанского районного маслихата Восточно-Казахстанской области от 11.03.2024 </w:t>
      </w:r>
      <w:r>
        <w:rPr>
          <w:rFonts w:ascii="Times New Roman"/>
          <w:b w:val="false"/>
          <w:i w:val="false"/>
          <w:color w:val="000000"/>
          <w:sz w:val="28"/>
        </w:rPr>
        <w:t>№ 01-03/VIII-19/1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сообщества" (зарегистрировано в Реестре государственной регистрации нормативных правовых актов за номером 15630) Зайсанский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Регламент собрании местного сообщества города районного значения, сельских округов Зайсанского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1 - внесено изменение на казахском языке, текст на русском языке не меняется решением Зайсанского районного маслихата Восточно-Казахстанской области от 29.11.2018 </w:t>
      </w:r>
      <w:r>
        <w:rPr>
          <w:rFonts w:ascii="Times New Roman"/>
          <w:b w:val="false"/>
          <w:i w:val="false"/>
          <w:color w:val="000000"/>
          <w:sz w:val="28"/>
        </w:rPr>
        <w:t>№ 32-7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для города районного значения, сельских округов с численностью населения более двух тысяч человек с 1 января 2018 года и для сельских округов с численностью населения две тысячи и менее человек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Зайсанского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2018 года № 28-1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собрании местного сообщества города районного значения, сельских округов Зайсанского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Зайсанского районного маслихата Восточно-Казахстанской области от 28.09.2021 </w:t>
      </w:r>
      <w:r>
        <w:rPr>
          <w:rFonts w:ascii="Times New Roman"/>
          <w:b w:val="false"/>
          <w:i w:val="false"/>
          <w:color w:val="ff0000"/>
          <w:sz w:val="28"/>
        </w:rPr>
        <w:t>№ 11-4/1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(далее – Типовой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(далее – Закон).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иными нормативными правовыми актами;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Регламент собрания утверждается маслихатом района (города областного значения).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проводится по текущим вопросам местного значения: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города районного значения, села, поселка, сельского округа (далее – сельский округ) и отчета об исполнении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района (города областного значения) кандидатур на должность акима сельского округа для дальнейшего внесения в соответствующую районную (городскую) избирательную комиссию для регистрации в качестве кандидата в акимы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Собрание может созываться акимами сельских округов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с указанием повестки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подпунктом 4-3)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началом созыва собрания аппаратом акима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Созыв собрания открывается акимом или уполномоченным им лицом.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Повестка дня собрания формируется аппаратом акима сельского округа на основе предложений, вносимых членами собрания, акимом соответствующей территории.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созыв собрания могут приглашаться депутаты маслихата района (города областного значения), представители аппарата акима района (города областного значения),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Собрание в рамках своих полномочий принимает решения большинством голосов присутствующих на созыве членов собрания.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округа, за исключением случаев, когда протокол содержит решение собрания местного сообщества об инициировании вопроса о прекращении полномочий акима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 района (города областного значения).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Решения, принятые собранием, рассматриваются акимом сельского округа в срок не более пяти рабочих дней.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Типового регламента.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заседании маслихата соответствующего района (города областного значения).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рассмотрения акимом сельского округа решений собрания доводятся аппаратом акима сельского округа до членов собрания в течение пяти рабочих дней.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сельского округа.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Решения, принятые на созыве собрания, распространяются аппаратом акима сельского округа через средства массовой информации или иными способами.</w:t>
      </w:r>
    </w:p>
    <w:bookmarkEnd w:id="18"/>
    <w:bookmarkStart w:name="z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собрании регулярно заслушиваются информации лиц ответственных за исполнение решений собрания.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района (города областного значения) или вышестоящим руководителям должностных лиц ответственных за исполнение решений собрания.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района (города областного значения) или вышестоящим руководством соответствующих должностных лиц.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