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03cb" w14:textId="a710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2018 года № 26/7-VI. Зарегистрировано Управлением юстиции Глубоковского района Департамента юстиции Восточно-Казахстанской области 11 декабря 2018 года № 5-9-188. Утратило силу - решением Глубоковского районного маслихата Восточно-Казахстанской области от 26 февраля 2026 года № 33/6-VIII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октября 2015 года № 40/8-V "Об утверждении проекта (схемы) зонирования земель Глубоковского района" (зарегистрировано в Реестре государственной регистрации нормативных правовых актов № 4240)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по Глубоковскому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входящую 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повышения базовых налоговых ставок,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поселок Белоусовка, село Прапорщиково, село Опытное поле, 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Верхнеберезовский, поселок Алтайский, село Предгорное, 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 село Березовка, село Секисовка, село Прогресс, 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Перевальное, село Белокаменка, село Бобровка, село Тарханка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село Степное, село Быструха, село Планидовка, разъезд 226 км, 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Ново-Михайловка, село Заречное, село Каменный Карьер, село Новая Ульба, станция Ульба Перевалочная, село Винное, 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село Горная Ульбинка, село ЗимовьҰ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Калинино, село Сметанино, село Красная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Волчиха, село Топиха, 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