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7411" w14:textId="b117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22 декабря 2017 года № 17-2-VI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июня 2018 года № 23-10-VI. Зарегистрировано Управлением юстиции Бородулихинского района Департамента юстиции Восточно-Казахстанской области 11 июля 2018 года № 5-8-166. Утратило силу - решением Бородулихинского районного маслихата Восточно-Казахстанской области от 21 декабря 2018 года № 31-2-VI.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31-2-VI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5362, опубликовано в Эталонном контрольном банке нормативных правовых актов Республики Казахстан в электронном виде 4 января 2018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4236794,5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867890,4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11334,1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8027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3349543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4275664,2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33910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23810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- 72779,7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72779,7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57720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23810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исполнению на 2018 год нормативы распределения доходов в бюджет района по индивидуальному подоходному налогу с доходов, облагаемых у источника выплаты, социальному налогу в размере 98,3 процента,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текущие трансферты из республиканского бюджета в сумме 219142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208172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 районном бюджете на 2018 год целевые трансферты на развитие из республиканского бюджета в сумме 150000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целевые текущие трансферты из нижестоящего бюджета на компенсацию потерь вышестоящего бюджета в связи с изменением законодательства в сумме 136870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23-10-VI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17-2-VI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4236794,5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867890,4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325952,2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249277,2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4275664,2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278787,5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115160,5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2510384,1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2319841,1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2269654,1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2229981,1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456582,6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