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eed3" w14:textId="ddde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29 января 2009 года № 14/6-IV "О корректировке базовых ставок земельного налога на основании зонирования земель для целей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12 марта 2018 года № 19/15-VI. Зарегистрировано Департаментом юстиции Восточно-Казахстанской области 26 марта 2018 года № 5559. Утратило силу решением Риддерского городского маслихата Восточно-Казахстанской области от 30 ноября 2020 года № 49/5-VI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января 2009 года № 14/6-IV "О корректировке базовых ставок земельного налога на основании зонирования земель для целей налогообложения" (зарегистрировано в Реестре государственной регистрации нормативных правовых актов за № 5-4-106, опубликовано 13 февраля 2009 года в газете "Лениногорская правда")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