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c3e1" w14:textId="2b9c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февраля 2018 года № 26/6-VI. Зарегистрировано Департаментом юстиции Восточно-Казахстанской области 7 марта 2018 года № 5521. Утратило силу решением Усть-Каменогорского городского маслихата Восточно-Казахстанской области от 28 февраля 2020 года № 53/5-VI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53/5-VI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городу Усть-Каменогорску в десять раз базовые ставки земельного налога и единого земельного налога, установленные статьями </w:t>
      </w:r>
      <w:r>
        <w:rPr>
          <w:rFonts w:ascii="Times New Roman"/>
          <w:b w:val="false"/>
          <w:i w:val="false"/>
          <w:color w:val="000000"/>
          <w:sz w:val="28"/>
        </w:rPr>
        <w:t>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июня 2016 года № 6/4-VI "О повышении базовых ставок земельного налога и единого земельного налога на неиспользованнные земли сельскохозяйственного значения" (зарегистрировано в Реестре государственной регистрации нормативных правовых актов за номером 4610, опубликовано 1 августа 2016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