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03b" w14:textId="25be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декабря 2017 года № 319 "Об утверждении регламента государственной услуги "Субсидирование затрат перерабатывающих предприятий назакуп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ноября 2018 года № 344. Зарегистрировано Департаментом юстиции Восточно-Казахстанской области 28 ноября 2018 года № 5699.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мая 2018 года № 185 "О внесении изменений в некоторые приказы Министра сельского хозяйства Республики Казахстан (зарегистрированным в Реестре государственной регистрации нормативных правовых актов за номером 17100),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5 декабря 2017 года № 319 (зарегистрированное в Реестре государственной регистрации нормативных правовых актов за номером 5345, опубликованное в Эталонном контрольном банке нормативных правовых актов Республики Казахстан 28 декабря 2017 года, газетах "Дидар" от 30 декабря 2017 года, "Рудный Алтай" от 30 декабря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на бумажном носителе с решением о назначении/неназначении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утвержденному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(зарегистрированным в Реестре государственной регистрации нормативных правовых актов за номером 11284) (далее – Стандарт)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канцелярией услугодателя документов услугополучателей, поступивших из Государственной корпорации, и регистрация в специальном прошнурованном, пронумерованном и скрепленном печатью журнале. Длительность выполнения – 20 (двадцать) минут;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исполнителем услугодателя документов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(зарегистрированным в Реестре государственной регистрации нормативных правовых актов за номером 10087) (далее - Правила), и направления уведомления в Государственную корпорацию о положительном решении или мотивированного отказа в выдаче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в течение 3 (трех) рабочих дней со дня регистрации заявления услугополучателя;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в случае представления услугополучателем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услугодателя представляет в территориальное подразделение казначейства счета к оплате для перечисления причитающихся субсидий на счета услугополучателей. Длительность выполнения – в течение 2 (двух) рабочих дней со дня рассмотрения документов усулугополучателя.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направление уведомления в Государственную корпорацию, о положительном решении или мотивированного отказа в выдаче субсидий, которое служит основанием для выполнения действия 3.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представление в территориальное подразделение казначейства счетов к оплате для перечисления причитающихся субсидий на счета услугополучателей.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казначейства.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услугополучателей, поступившие из Государственной корпорации, регистрирует в специальном прошнурованном, пронумерованном и скрепленном печатью журнале и передает исполнителю услугодателя – в течение 20 (двадцати) минут;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рассматривает документы услугополучателей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направляет уведомление в Государственную корпорацию о положительном решении или мотивированный отказ в выдаче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в течение 3 (трех) рабочих дней со дня регистрации заявления услугополучателя;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представления услугополучателем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услугодателя представляет в территориальное подразделение казначейства счета к оплате для перечисления причитающихся субсидий на счета услугополучателей – в течение 2 (двух) рабочих дней после рассмотрения документов услугополучателя. 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20 (двадцать) минут.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Государственную корпорацию услогополучателю выдается расписка о приеме соответствующих документов.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5 к Стандарту.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оказания государственной услуги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со дня сдачи пакета документов – 5 (пять) рабочих дней.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доверенности, юридическому лицу – по документу, подтверждающему полномочия).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ее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перерабатывающих предприятий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