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a5fc" w14:textId="fd3a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16 октября 2015 года № 277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сентября 2018 года № 284. Зарегистрировано Департаментом юстиции Восточно-Казахстанской области 15 октября 2018 года № 5680. Утратило силу постановлением Восточно-Казахстанского областного акимата от 3 апреля 2020 года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03.04.2020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15 января 2018 года № 27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(зарегистрированным в Реестре государственной регистрации нормативных правовых актов за номером 16656),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регулирования использования водного фонда" от 16 октября 2015 года № 277 (зарегистрированное в Реестре государственной регистрации нормативных правовых актов за номером 4233, опубликованное в информационно-правовой системе "Әділет" 29 декабря 2015 года, в газетах "Дидар", "Рудный Алтай" от 31 декабря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277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 (далее -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№ 19-1/422 (зарегистрированным в Реестре государственной регистрации нормативных правовых актов за номером 11765) (далее – Стандарт).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 последовательность их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сотрудником канцелярии услугодателя документов услугополучателя, предусмотренных пункту 9 Стандарта, поступивших из Государственной корпорации, в журнале регистрации. Длительность выполнения - 15 (пятнадцать)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документов услугополучателя руководителем услугодателя и передача руководителю отдела услугодателя на рассмотрение. Длительность выполнения – в течение 1 (одного) календарного дня;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20 (двадцать)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рассмотрение документов услугополучателя специалистом отдела услугодателя, подготовка письма о разрешении либо мотивированного ответа об отказе в оказании государственной услуги. Длительность выполнения – 25 (двадцать пять) календарных дней;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подписание руководителем услугодателя письма о разрешении либо мотивированного ответа об отказе в оказании государственной услуги. Длительность выполнения – в течение 1 (одного) календарного дня;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передача сотрудником канцелярии услугодателя письма о разрешении либо мотивированного ответа об отказе в оказании государственной услуги в Государственную корпорацию для выдачи услугополучателю. Длительность выполнения – 15 (пятнадцать) минут.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– 30 (тридцать) календарных дней.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2, указанному в пункте 5 настоящего Регламента, является резолюция руководителя услугодателя, которая является основанием для выполнения действия 3, указанного в пункте 5 настоящего Регламента.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3, указанному в пункте 5 настоящего Регламента,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4, указанному в пункте 5 настоящего Регламента, является оформление письма о разрешении либо мотивированного ответа об отказе в оказании государственной услуги, которые являются основанием для выполнения действия 5, указанного в пункте 5 настоящего Регламента.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5, указанному в пункте 5 настоящего Регламента, являются подписанное письмо о разрешении либо мотивированный ответ об отказе в оказании государственной услуги, которые являются основанием для выполнения действия 6, указанного в пункте 5 настоящего Регламента.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>настоящего Регламента, является выдача письма о разрешении либо мотивированного ответа об отказе в оказании государственной услуги услугополучателю.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поступивших из Государственной корпорации в журнале регистрации. Длительность выполнения - 15 (пятнадцать) минут;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услугополучателя руководителем услугодателя и передача руководителю отдела услугодателя на рассмотрение. Длительность выполнения – в течение 1 (одного) календарного дня;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20 (двадцать) минут;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услугополучателя специалистом отдела услугодателя, подготовка письма о разрешении либо мотивированного ответа об отказе в оказании государственной услуги. Длительность выполнения – 25 (двадцать пять) календарных дней;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подписание руководителем услугодателя письма о разрешении либо мотивированного ответа об отказе в оказании государственной услуги. Длительность выполнения – в течение 1 (одного) календарного дня;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сотрудником канцелярии услугодателя письма о разрешении либо мотивированного ответа об отказе в оказании государственной услуги в Государственную корпорацию для выдачи услугополучателю. Длительность выполнения – 15 (пятнадцать) минут.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–15 (пятнадцать) минут.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и регистрирует принятое заявление в интегрированной информационной системе мониторинга оказания государственных услуг (далее – ИСМ)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 к Стандарту.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этой связь, в установленном графиком время, утвержденным руководителем Государственной корпорации.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в Государственную корпорацию: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(тридцать) календарных дней;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размещается на веб-портале "электронного правительства", интернет–ресурсе услугодателя.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питьевого качества для целей,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 питьевым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хозяйственно-бытовым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территориях, где отсутствуют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поверхностные водные объекты,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имеются достаточные 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качества"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местными исполнительными органами области, районов, городов областного значения (далее - услугодатель).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граждан"" (далее – Государственная корпорация).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местными исполнительными органами области,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приказом Министра сельского хозяйства Республики Казахстан от 6 мая 2015 года № 19-1/422 (зарегистрированным в Реестре государственной регистрации нормативных правовых актов за номером 11765) (далее – Стандарт).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(либо его представителя по доверенности)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сотрудником канцелярии услугодателя документов услугополучателя согласно пунктом 9 Стандарта, поступивших из Государственной корпорации. Длительность выполнения – 15 (пятнадцать) минут;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вскрытие конкурсной комиссией конвертов с конкурсными заявками услугополучателей и оформление протокола вскрытия конвертов. Длительность выполнения – 1 (один) рабочий день;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размещение секретарем конкурсной комиссии на интернет-ресурсе организатора конкурса протокола вскрытия конвертов. Длительность выполнения – 2 (два) рабочих дня;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конкурсная комиссия подводит итоги конкурса и оформляет протокол конкурсной комиссии. Длительность выполнения – не более 10 (десяти) календарных дней со дня вскрытия конвертов с конкурсными заявками;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секретарь конкурсной комиссии направляет копию протокола итогов конкурсной комиссии услугополучателю. Длительность выполнения – 1 (один) рабочий день;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размещение секретарем конкурсной комиссии итогов проведҰнного конкурса в средствах массовой информации и на Интернет-ресурсе организатора конкурса. Длительность выполнения – 5 (пять) рабочих дней;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местный исполнительный орган области на основании протокола конкурсной комиссии принимает решение о предоставлении водного объекта в обособленное или совместное пользование. Длительность выполнения – 5 (пять) рабочих дней со дня подписания протокола об итогах конкурса;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между местным исполнительным органом области и услугополучателем заключается договор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пользование. Длительность выполнения – 10 (десять) рабочих дней;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9 - передача сотрудником канцелярии услугодателя договора о предоставлении водного объекта в обособленное или совместное пользование либо мотивированного ответа об отказе в оказании государственной услуги в Государственную корпорацию для передачи услугополучателю. Длительность выполнения – 15 (пятнадцать) минут.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услугодателем с момента сдачи пакета документов услугодателю – 43 (сорок три) рабочих дня.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оформленный протокол вскрытия конвертов, который служит основанием для выполнения действия 3.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размещение на Интернет-ресурсе протокола вскрытия конвертов, который служит основанием для выполнения действия 4.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оформление протокола конкурсной комиссии, которое служит основанием для выполнения действия 5.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является направление копии протокола итогов конкурсной комиссии услугополучателю, которое служит основанием для начала выполнения действия 6.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указанного в пункте 5 настоящего Регламента, является публикация итогов проведҰнного конкурса в средствах массовой информации и размещение на Интернет-ресурсе услугодателя, которое служит основанием для начала выполнения действия 7.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7, указанного в пункте 5 настоящего Регламента, является принятие местным исполнительным органом области решения о предоставлении водного объекта в обособленное или совместное пользование, которое служит основанием для выполнения действия 8.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8, указанного в пункте 5 настоящего Регламента, является заключение договора о предоставлении водного объекта в обособленное или совместное пользование между местным исполнительным органом области и победителем конкурса, которое служит основанием для выполнения действия 9.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9,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сотрудником канцелярии услугодателя услугополучателю договора о предоставлении водного объекта в обособленное или совместное пользование либо мотивированного ответа об отказе в оказании государственной услуги в Государственную корпорацию для выдачи услугополучателю.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услугодателя;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 услугодателя;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сотрудником канцелярии услугодателя заявления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поступивших из Государственной корпорации. Длительность выполнения – 15 (пятнадцать) минут;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вскрытие конкурсной комиссией конвертов с конкурсными заявками услугополучателей и оформление протокола вскрытия конвертов. Длительность выполнения – 1 (один) рабочий день;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секретарем конкурсной комиссии на интернет-ресурсе организатора конкурса протокола вскрытия конвертов. Длительность выполнения – 2 (два) рабочих дня;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подводит итоги конкурса и оформляет протокол конкурсной комиссии. Длительность выполнения – не более 10 (десяти) рабочих дней со дня вскрытия конвертов с конкурсными заявками;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конкурсной комиссии направляет копию протокола итогов конкурсной комиссии услугополучателю. Длительность выполнения – 1 (один) рабочий день;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секретарем конкурсной комиссии итогов проведҰнного конкурса в средствах массовой информации и на интернет-ресурсе организатора конкурса. Длительность выполнения – 5 (пять) рабочих дней;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области на основании протокола конкурсной комиссии принимает решение о предоставлении водного объекта в обособленное или совместное пользование. Длительность выполнения – 5 (пять) рабочих дней со дня подписания протокола об итогах конкурса;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 местным исполнительным органом области и услугополучателем заключается договор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пользование. Длительность выполнения – 10 (десять) рабочих дней;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передача сотрудником канцелярии услугодателя услугополучателю договора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 либо мотивированного ответа об отказе в оказании государственной услуге в Государственную корпорацию для выдачи услугополучателю. Длительность выполнения – 15 (пятнадцать) минут.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и регистрирует принятое заявление в интегрированной информационной системе мониторинга оказания государственных услуг (далее – ИСМ)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этой связь, в установленном графиком время, утвержденным руководителем Государственной корпорации.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отказываются с указанием причин отказа.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в Государственную корпорацию: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(сорок три) рабочих дня: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размещается на веб-портале "электронного правительства", интернет–ресурсе услугодателя.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в обособленное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совместное 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конкурсной основе"</w:t>
            </w:r>
          </w:p>
        </w:tc>
      </w:tr>
    </w:tbl>
    <w:bookmarkStart w:name="z1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