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508544" w14:textId="950854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единых ставок фиксированного налога для всех налогоплательщиков, осуществляющих деятельность на территории города Шымкент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Шымкентского городского маслихата Южно-Казахстанской области от 29 мая 2018 года № 28/241-6с. Зарегистрировано Департаментом юстиции Южно-Казахстанской области 15 июня 2018 года № 4635. Утратило силу решением маслихата города Шымкент от 24 июля 2020 года № 68/602-6с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маслихата города Шымкент от 24.07.2020 № 68/602-6с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546 Кодекса Республики Казахстан от 25 декабря 2017 года "О налогах и других обязательных платежах в бюджет" (Налоговый кодекс), </w:t>
      </w:r>
      <w:r>
        <w:rPr>
          <w:rFonts w:ascii="Times New Roman"/>
          <w:b w:val="false"/>
          <w:i w:val="false"/>
          <w:color w:val="000000"/>
          <w:sz w:val="28"/>
        </w:rPr>
        <w:t>подпунктом 15)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27 Закона Республики Казахстан от 6 апреля 2016 года "О правовых актах", Шымкентский городской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Установить единые ставки фиксированного налога для всех налогоплательщиков, осуществляющих деятельность на территории города Шымкент,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утратившими силу решения Шымкентского городского маслихата "О единых ставках фиксированного налога" от 20 февраля 2009 года </w:t>
      </w:r>
      <w:r>
        <w:rPr>
          <w:rFonts w:ascii="Times New Roman"/>
          <w:b w:val="false"/>
          <w:i w:val="false"/>
          <w:color w:val="000000"/>
          <w:sz w:val="28"/>
        </w:rPr>
        <w:t>№ 18/183-4с</w:t>
      </w:r>
      <w:r>
        <w:rPr>
          <w:rFonts w:ascii="Times New Roman"/>
          <w:b w:val="false"/>
          <w:i w:val="false"/>
          <w:color w:val="000000"/>
          <w:sz w:val="28"/>
        </w:rPr>
        <w:t xml:space="preserve"> (зарегистрировано в Реестре государственной регистрации нормативных правовых актов за № 14-1-92, опубликовано 3 апреля 2009 года в газете "Панорама Шымкента") и "О внесении изменений в решение Шымкентского городского маслихата от 20 февраля 2009 года № 18/183-4с "О единых ставках фиксированного налога" от 27 марта 2015 года </w:t>
      </w:r>
      <w:r>
        <w:rPr>
          <w:rFonts w:ascii="Times New Roman"/>
          <w:b w:val="false"/>
          <w:i w:val="false"/>
          <w:color w:val="000000"/>
          <w:sz w:val="28"/>
        </w:rPr>
        <w:t>№ 46/328-5с</w:t>
      </w:r>
      <w:r>
        <w:rPr>
          <w:rFonts w:ascii="Times New Roman"/>
          <w:b w:val="false"/>
          <w:i w:val="false"/>
          <w:color w:val="000000"/>
          <w:sz w:val="28"/>
        </w:rPr>
        <w:t xml:space="preserve"> (зарегистрировано в Реестре государственной регистрации нормативных правовых атков за № 3165, опубликовано 8 мая 2015 года в газете "Панорама Шымкента").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Государственному учреждению "Аппарат Шымкентского городского маслихата" в установленном законодательсвом Республики Казахстан порядке обеспечить: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решения в территориальном органе юстиции;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течении десяти календарных дней со дня государственной регистрации настоящего решения маслихата направление его копии в бумажном и электронном виде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для официального опубликования и включения в эталонный контрольный банк нормативных правовых актов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течении десяти календарных дней со дня государственной регистрации настоящего решения направление его копии на официальное опубликование в периодические печатные издания, распространяемых на территории города Шымкент;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размещение настоящего решения на интернет-ресурсе Шымкентского городского маслихата после его официального опубликовнаия.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городского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Х. Ахматханов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городского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Бекназаров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Шымкентского городского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29 мая 2018 года № 28/241-6с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Единые ставки фиксированного налога для всех налогоплатильщиков, осуществляющих деятельность на территории города Шымкент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8"/>
        <w:gridCol w:w="6800"/>
        <w:gridCol w:w="4252"/>
      </w:tblGrid>
      <w:tr>
        <w:trPr>
          <w:trHeight w:val="30" w:hRule="atLeast"/>
        </w:trPr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№ </w:t>
            </w:r>
          </w:p>
        </w:tc>
        <w:tc>
          <w:tcPr>
            <w:tcW w:w="6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объекта налогообложения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Размеры базовых ставок фиксированного налога (в месячных расчетных показателях)</w:t>
            </w:r>
          </w:p>
        </w:tc>
      </w:tr>
      <w:tr>
        <w:trPr>
          <w:trHeight w:val="30" w:hRule="atLeast"/>
        </w:trPr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Игровой автомат без выигрыша, предназначенный для проведения игры с одним игроком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Игровой автомат без выигрыша, предназначенный для проведения игры с участием более одного игрока 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Персональный компьютер, используемый для проведения игры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Игровая дорожка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Карт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Бильярдный стол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Обменный пункт уполномоченной организации, расположенный в населенном пункте, за исключением городов Астаны и Алматы и специальной зоны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