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184c" w14:textId="0141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11 декабря 2013 года №257-V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12 июля 2018 года № 310-VI. Зарегистрировано Департаментом юстиции Атырауской области 6 августа 2018 года № 4216. Утратило силу решением Курмангазинского районного маслихата Атырауской области от 14 сентября 2022 года № 172-VII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14.09.2022 № </w:t>
      </w:r>
      <w:r>
        <w:rPr>
          <w:rFonts w:ascii="Times New Roman"/>
          <w:b w:val="false"/>
          <w:i w:val="false"/>
          <w:color w:val="ff0000"/>
          <w:sz w:val="28"/>
        </w:rPr>
        <w:t>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от 19 июня 2018 года № 215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257-V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2814, опубликовано 16 января 2014 года в районной газете "Серпер")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строку, порядковый номер 1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М. Куаншалиев) районного маслихата по вопросам социальной сферы, молодежной политики, законодательства и права.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ХХIХ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 № 310-VI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2013 года № 257-V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ССР),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5, 6, 7 и 8 Закона Республики Қазахстан от 28 апреля 1995 года "О льготах и социальной защите участников, иналидов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