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a0b6" w14:textId="a62a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января 2018 года № 209. Зарегистрировано Департаментом юстиции Атырауской области 15 февраля 2018 года № 4059. Утратило силу решением Махамбетского районного маслихата Атырауской области от 29 июня 2020 года № 443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29.06.2020 № </w:t>
      </w:r>
      <w:r>
        <w:rPr>
          <w:rFonts w:ascii="Times New Roman"/>
          <w:b w:val="false"/>
          <w:i w:val="false"/>
          <w:color w:val="ff0000"/>
          <w:sz w:val="28"/>
        </w:rPr>
        <w:t>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законадательства, экономики и бюджета, финансов (Б. Рахметов)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Курманберлиева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Махамбетского районного маслихата Атырауской области от 22.01.2019 № </w:t>
      </w:r>
      <w:r>
        <w:rPr>
          <w:rFonts w:ascii="Times New Roman"/>
          <w:b w:val="false"/>
          <w:i w:val="false"/>
          <w:color w:val="ff0000"/>
          <w:sz w:val="28"/>
        </w:rPr>
        <w:t>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единых ставок фиксированного налога (в месячных расчетных показателях)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Махамбетском районе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