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495" w14:textId="d0e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Алатауского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19 марта 2018 года № 1. Зарегистрировано Департаментом юстиции города Алматы 3 апреля 2018 года № 1459. Утратило силу решением акима Алатауского района города Алматы от 8 августа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08.08.2023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Алатауского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Алатауского района города Алматы.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13 марта 2017 года № 1 "Об утверждении методики оценки деятельности административных государственных служащих корпуса "Б" аппарата акима Алатауского района города Алматы" (зарегистрировано в Реестре государственной регистрации нормативных правовых актов от 29 марта 2017 года за № 1358, опубликовано в газете "Алматы ақшамы" 6 апреля 2017 года № 40 и "Вечерний Алматы" 6 апреля 2017 года № 39) утратившим силу.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 контрольном банке нормативных правовых актов Республики Казахстан и на официальном интернет-ресурсе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Алатауского района города Алматы Карсакбаеву Баян Кокимбаевну.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Алатауского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Алатауского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ориентированы на реализацию стратегических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аппарата акима Алатауского района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 - 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департаменте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 По итогам рассмотрения жалобы департаментом агентства Республики Казахстан по делам государственной службы и противодействию коррупции по городу Алматы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