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c28f" w14:textId="2e1c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Экибастузского городского маслихата от 26 декабря 2017 года № 201/25 "Об Экибастузском городском бюджете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7 июня 2018 года № 260/31. Зарегистрировано Департаментом юстиции Павлодарской области 22 июня 2018 года № 5999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от 26 декабря 2017 года № 201/25 "Об Экибастузском городском бюджете на 2018 - 2020 годы" (зарегистрировано в Реестре государственной регистрации нормативных правовых актов за № 5761, опубликованное 4 января 2018 года в газете "Отарқа" и 4 января 2018 года в газете "Голос Экибастуза")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"22 715 914" заменить цифрами "24 742 601";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"18 326 405" заменить цифрами "18 319 958";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"75 244" заменить цифрами "81 691";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"3 962 542" заменить цифрами "5 989 229";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"26 667 467" заменить цифрами "28 705 679";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"-256 014" заменить цифрами "507 986";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"14 430" заменить цифрами "778 430";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"-6 776" заменить цифрами "-18 301";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"93 819" заменить цифрами "82 294";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"-3 688 763" заменить цифрами "-4 452 763";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"3 688 763" заменить цифрами "4 452 763";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Экибастузского городского маслихата по вопросам экономики, бюджета и предпринимательства.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июня 2018 года № 260/31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ХХV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26 декабря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201/25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Экибастузский городской бюджет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24 742 601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18 319 958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4 872 571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4 872 571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3 712 688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3 712 688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8 047 915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6 679 703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996 286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1 617 565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1 403 969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5 989 229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5 989 229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5 989 229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810"/>
        <w:gridCol w:w="1245"/>
        <w:gridCol w:w="1245"/>
        <w:gridCol w:w="5351"/>
        <w:gridCol w:w="28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28 705 679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615 265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9 659 907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2 299 342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1 915 769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1 519 046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6 803 688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5 633 041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5 292 013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341 028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419 845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419 845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744 237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744 237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871 369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632 580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9 126 021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5 532 144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5 258 391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3 911 017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1 314 774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2 282 033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2 263 545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523 059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1 600 917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1 311 844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1 284 076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952 656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957 971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423 360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2 961 970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2 847 804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2 825 285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1 405 798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3 982 897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3 982 897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3 982 897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3 337 044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507 986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778 430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-18 301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-4 452 763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4 452 763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4 461 611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4 461 611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4 461 611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июня 2018 года № 260/31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ХХV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26 декабря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201/25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сел, сельских округов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923"/>
        <w:gridCol w:w="1946"/>
        <w:gridCol w:w="1946"/>
        <w:gridCol w:w="60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Байетский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Железнодорожный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академика Алькея Маргулана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Шикылдак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Сарыкамысский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Торт-Кудукский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июня 2018 года № 260/31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ХХV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26 декабря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201/25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5120"/>
        <w:gridCol w:w="2527"/>
        <w:gridCol w:w="517"/>
        <w:gridCol w:w="517"/>
        <w:gridCol w:w="2529"/>
      </w:tblGrid>
      <w:tr>
        <w:trPr/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целевых трансфертов</w:t>
            </w:r>
          </w:p>
        </w:tc>
        <w:tc>
          <w:tcPr>
            <w:tcW w:w="2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5 989 229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из областного бюджета: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1 508 823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873 783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расходы текущего и капитального характера в сфере образования, в том числе: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содержание шахматных кружков в общеобразовательных школах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Программы развития продуктивной занятости и массового предпринимательства, в том числе: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субсидии на возмещение расходов по найму (аренде) жилья и оплату коммунальных услуг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краткосрочное профессиональное обучение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животных, больных бруцеллезом, направляемых на санитарный убой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и участие в спортивных соревнованиях по футболу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служебного автотранспорта акимам сел, поселков, сельских округов, в рамках внедрения четвертого уровня бюджета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приоритетных проектов транспортной инфраструктуры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702 899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635 040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образования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321 253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186 922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из республиканского бюджета: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4 480 406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1 293 600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сотрудника, в том числе: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доплаты учителям, прошедшим стажировку по языковым курсам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расходы на замещение на период обучения основного сотрудника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неправительственном секторе, в том числе: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размещение государственного социального заказа (в условиях полустационара)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 оказание специальных социальных услуг жертвам бытового насилия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Программы развития продуктивной занятости и массового предпринимательства, в том числе: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частичное субсидирование заработной платы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26 667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молодежную практику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предоставление субсидий на переезд оралманов и переселенцев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инвалидов, в том числе: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увеличение норм обеспечения инвалидов обязательными гигиеническими средствами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оказание услуг специалиста жестового языка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338 763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приоритетных проектов транспортной инфраструктуры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702 899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3 186 806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развитие системы водоснабжения и водоотведения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280 806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строительство и реконструкцию объектов начального, основного среднего и общего образования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1 046 186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развитие системы водоснабжения и водоотведения в сельских населенных пунктах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1 259 814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июня 2018 года № 260/31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ХХV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26 декабря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201/25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бюджетных кредитов</w:t>
      </w:r>
      <w:r>
        <w:br/>
      </w:r>
      <w:r>
        <w:rPr>
          <w:rFonts w:ascii="Times New Roman"/>
          <w:b/>
          <w:i w:val="false"/>
          <w:color w:val="000000"/>
        </w:rPr>
        <w:t>по администраторам бюджетных программ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3262"/>
        <w:gridCol w:w="2703"/>
        <w:gridCol w:w="667"/>
        <w:gridCol w:w="2274"/>
        <w:gridCol w:w="2705"/>
      </w:tblGrid>
      <w:tr>
        <w:trPr/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администраторов бюджетных программ/назначение бюджетных кредитов</w:t>
            </w:r>
          </w:p>
        </w:tc>
        <w:tc>
          <w:tcPr>
            <w:tcW w:w="2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778 430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764 000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