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7188" w14:textId="f7c7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Аксу от 27 января 2017 года № 31/1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Аксу Павлодарской области от 11 сентября 2018 года № 595/9. Зарегистрировано Департаментом юстиции Павлодарской области 10 октября 2018 года № 6079. Утратило силу постановлением акимата города Аксу Павлодарской области от 12 июля 2019 года № 611/5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Аксу Павлодарской области от 12.07.2019 № 611/5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в целях оптимального и эффективного расходования бюджетных средств, акимат города Аксу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Аксу от 27 января 2017 года № 31/1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за № 5364, опубликовано 10 февраля 2017 года в газетах "Ақсу жолы" и "Новый путь")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Аксу Умарханова Б. С.</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 от 11 сентября</w:t>
            </w:r>
            <w:r>
              <w:br/>
            </w:r>
            <w:r>
              <w:rPr>
                <w:rFonts w:ascii="Times New Roman"/>
                <w:b w:val="false"/>
                <w:i w:val="false"/>
                <w:color w:val="000000"/>
                <w:sz w:val="20"/>
              </w:rPr>
              <w:t>2018 года № 595/9</w:t>
            </w:r>
          </w:p>
        </w:tc>
      </w:tr>
    </w:tbl>
    <w:bookmarkStart w:name="z7" w:id="4"/>
    <w:p>
      <w:pPr>
        <w:spacing w:after="0"/>
        <w:ind w:left="0"/>
        <w:jc w:val="left"/>
      </w:pPr>
      <w:r>
        <w:rPr>
          <w:rFonts w:ascii="Times New Roman"/>
          <w:b/>
          <w:i w:val="false"/>
          <w:color w:val="000000"/>
        </w:rPr>
        <w:t xml:space="preserve"> Бюджетные программы и товары, работы, услуги по которым</w:t>
      </w:r>
      <w:r>
        <w:br/>
      </w:r>
      <w:r>
        <w:rPr>
          <w:rFonts w:ascii="Times New Roman"/>
          <w:b/>
          <w:i w:val="false"/>
          <w:color w:val="000000"/>
        </w:rPr>
        <w:t>организация и проведение государственных закупок</w:t>
      </w:r>
      <w:r>
        <w:br/>
      </w:r>
      <w:r>
        <w:rPr>
          <w:rFonts w:ascii="Times New Roman"/>
          <w:b/>
          <w:i w:val="false"/>
          <w:color w:val="000000"/>
        </w:rPr>
        <w:t>осуществляется единым организатором по городу Аксу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городским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расчҰтный показатель, но не более стотысячекратного месячного расчҰтного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