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ad57" w14:textId="9d3a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мая 2018 года № 217. Зарегистрировано Департаментом юстиции Костанайской области 5 июня 2018 года № 7814.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217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местным исполнительным органом области (государственным учреждением "Управление сельского хозяйства акимата Костанайской области")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(рыбоводства)", утвержденного приказом Заместителя Премьер-Министра Республики Казахстан - Министра сельского хозяйства Республики Казахстан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под № 16693) (далее – Стандарт).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и времени, фамилии и инициалов лица, принявшего заявку,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передает руководителю услугодателя – 10 (десять)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 (пять) минут.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2 (два) часа.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проект результата оказания государственной услуги, передает руководителю услугодателя – 19 (девятнадцать) рабочих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государственных услуг;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 – 2 (два) часа.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15 (пятнадцать) минут.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и времени, фамилии и инициалов лица, принявшего заявку,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передает руководителю услугодателя – 10 (десять) минут;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 (пять) минут;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2 (два) часа;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проект результата оказания государственной услуги, передает руководителю услугодателя – 19 (девятнадцать) рабочих дней;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 – 2 (два) часа;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15 (пятнадцать) минут.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принимает пакет документов, осуществляет регистрацию, выдает талон с указанием даты и времени, фамилии и инициалов лица, принявшего заявку – 5 (пять) минут;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– 5 (пять) минут;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 (пять) минут;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день.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готовит результат оказания государственной услуги, передает в Государственную корпорацию – 18 (восемнадцать) рабочих дней;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услугополучателю – 5 (пять) минут.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продуктивности и качества продукции аквакультуры (рыбоводства)"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3660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