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3908b" w14:textId="41390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сельского округа Атамекен</w:t>
      </w:r>
    </w:p>
    <w:p>
      <w:pPr>
        <w:spacing w:after="0"/>
        <w:ind w:left="0"/>
        <w:jc w:val="both"/>
      </w:pPr>
      <w:r>
        <w:rPr>
          <w:rFonts w:ascii="Times New Roman"/>
          <w:b w:val="false"/>
          <w:i w:val="false"/>
          <w:color w:val="000000"/>
          <w:sz w:val="28"/>
        </w:rPr>
        <w:t>Решение Мунайлинского районного маслихата Мангистауской области от 25 мая 2018 года № 23/284. Зарегистрировано Департаментом юстиции Мангистауской области 21 июня 2018 года № 3661.</w:t>
      </w:r>
    </w:p>
    <w:p>
      <w:pPr>
        <w:spacing w:after="0"/>
        <w:ind w:left="0"/>
        <w:jc w:val="both"/>
      </w:pPr>
      <w:bookmarkStart w:name="z0"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 Мунайлинский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сельского округа Атамекен.</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Мунайлинского районного маслихата" (руководитель аппарата А. Жанбуршина) обеспечить государственную регистрацию настоящего решения в органах юстиции, его официальное опубликование в Эталонном контрольном банке нормативных правовых актов Республики Казахстан и в средствах массовой информации.</w:t>
      </w:r>
    </w:p>
    <w:bookmarkEnd w:id="2"/>
    <w:bookmarkStart w:name="z3"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сессии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Есенкулов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Назар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"СОГЛАСОВАНО"</w:t>
      </w:r>
    </w:p>
    <w:bookmarkStart w:name="z4" w:id="4"/>
    <w:p>
      <w:pPr>
        <w:spacing w:after="0"/>
        <w:ind w:left="0"/>
        <w:jc w:val="both"/>
      </w:pPr>
      <w:r>
        <w:rPr>
          <w:rFonts w:ascii="Times New Roman"/>
          <w:b w:val="false"/>
          <w:i w:val="false"/>
          <w:color w:val="000000"/>
          <w:sz w:val="28"/>
        </w:rPr>
        <w:t>
      Аким сельского округа Атамекен</w:t>
      </w:r>
    </w:p>
    <w:bookmarkEnd w:id="4"/>
    <w:bookmarkStart w:name="z5" w:id="5"/>
    <w:p>
      <w:pPr>
        <w:spacing w:after="0"/>
        <w:ind w:left="0"/>
        <w:jc w:val="both"/>
      </w:pPr>
      <w:r>
        <w:rPr>
          <w:rFonts w:ascii="Times New Roman"/>
          <w:b w:val="false"/>
          <w:i w:val="false"/>
          <w:color w:val="000000"/>
          <w:sz w:val="28"/>
        </w:rPr>
        <w:t>
      Е. Ибрагимов</w:t>
      </w:r>
    </w:p>
    <w:bookmarkEnd w:id="5"/>
    <w:bookmarkStart w:name="z6" w:id="6"/>
    <w:p>
      <w:pPr>
        <w:spacing w:after="0"/>
        <w:ind w:left="0"/>
        <w:jc w:val="both"/>
      </w:pPr>
      <w:r>
        <w:rPr>
          <w:rFonts w:ascii="Times New Roman"/>
          <w:b w:val="false"/>
          <w:i w:val="false"/>
          <w:color w:val="000000"/>
          <w:sz w:val="28"/>
        </w:rPr>
        <w:t>
      "25" мая 2018 год</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Мунайлинского районного маслихата</w:t>
            </w:r>
            <w:r>
              <w:br/>
            </w:r>
            <w:r>
              <w:rPr>
                <w:rFonts w:ascii="Times New Roman"/>
                <w:b w:val="false"/>
                <w:i w:val="false"/>
                <w:color w:val="000000"/>
                <w:sz w:val="20"/>
              </w:rPr>
              <w:t>от 25 мая 2018 года № 23/284</w:t>
            </w:r>
            <w:r>
              <w:br/>
            </w:r>
          </w:p>
        </w:tc>
      </w:tr>
    </w:tbl>
    <w:bookmarkStart w:name="z13" w:id="7"/>
    <w:p>
      <w:pPr>
        <w:spacing w:after="0"/>
        <w:ind w:left="0"/>
        <w:jc w:val="left"/>
      </w:pPr>
      <w:r>
        <w:rPr>
          <w:rFonts w:ascii="Times New Roman"/>
          <w:b/>
          <w:i w:val="false"/>
          <w:color w:val="000000"/>
        </w:rPr>
        <w:t xml:space="preserve"> Регламент собрания местного сообщества сельского округа Атамекен</w:t>
      </w:r>
    </w:p>
    <w:bookmarkEnd w:id="7"/>
    <w:bookmarkStart w:name="z14"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r>
        <w:rPr>
          <w:rFonts w:ascii="Times New Roman"/>
          <w:b w:val="false"/>
          <w:i w:val="false"/>
          <w:color w:val="ff0000"/>
          <w:sz w:val="28"/>
        </w:rPr>
        <w:t xml:space="preserve">
      Сноска. Приложение в редакции решения Мунайлинского районного маслихата Мангистауской области от 03.11.2021 </w:t>
      </w:r>
      <w:r>
        <w:rPr>
          <w:rFonts w:ascii="Times New Roman"/>
          <w:b w:val="false"/>
          <w:i w:val="false"/>
          <w:color w:val="ff0000"/>
          <w:sz w:val="28"/>
        </w:rPr>
        <w:t>№ 11/67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 w:id="9"/>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сельский округ Атамекен (далее-Регламент)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w:t>
      </w:r>
    </w:p>
    <w:bookmarkEnd w:id="9"/>
    <w:bookmarkStart w:name="z16" w:id="1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0"/>
    <w:bookmarkStart w:name="z17" w:id="1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сельского округа Атамекен, в границах которой осуществляется местное самоуправление, формируются и функционируют его органы;</w:t>
      </w:r>
    </w:p>
    <w:bookmarkEnd w:id="11"/>
    <w:bookmarkStart w:name="z18" w:id="12"/>
    <w:p>
      <w:pPr>
        <w:spacing w:after="0"/>
        <w:ind w:left="0"/>
        <w:jc w:val="both"/>
      </w:pPr>
      <w:r>
        <w:rPr>
          <w:rFonts w:ascii="Times New Roman"/>
          <w:b w:val="false"/>
          <w:i w:val="false"/>
          <w:color w:val="000000"/>
          <w:sz w:val="28"/>
        </w:rPr>
        <w:t>
      2) собрание местного сообщества (далее-собрание)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3) вопросы местного значения – вопросы деятельности сельский округ Атамекен,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сельского округа Атамекен;</w:t>
      </w:r>
    </w:p>
    <w:bookmarkEnd w:id="13"/>
    <w:bookmarkStart w:name="z20" w:id="1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
    <w:bookmarkStart w:name="z21" w:id="1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3. Регламент собрания утверждается маслихатом района.</w:t>
      </w:r>
    </w:p>
    <w:bookmarkEnd w:id="16"/>
    <w:bookmarkStart w:name="z23" w:id="17"/>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7"/>
    <w:bookmarkStart w:name="z24" w:id="18"/>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 Атамекен:</w:t>
      </w:r>
    </w:p>
    <w:bookmarkEnd w:id="18"/>
    <w:bookmarkStart w:name="z25" w:id="19"/>
    <w:p>
      <w:pPr>
        <w:spacing w:after="0"/>
        <w:ind w:left="0"/>
        <w:jc w:val="both"/>
      </w:pPr>
      <w:r>
        <w:rPr>
          <w:rFonts w:ascii="Times New Roman"/>
          <w:b w:val="false"/>
          <w:i w:val="false"/>
          <w:color w:val="000000"/>
          <w:sz w:val="28"/>
        </w:rPr>
        <w:t>
      1) до 10 тысяч населения 5-10 членов собрания;</w:t>
      </w:r>
    </w:p>
    <w:bookmarkEnd w:id="19"/>
    <w:bookmarkStart w:name="z26" w:id="20"/>
    <w:p>
      <w:pPr>
        <w:spacing w:after="0"/>
        <w:ind w:left="0"/>
        <w:jc w:val="both"/>
      </w:pPr>
      <w:r>
        <w:rPr>
          <w:rFonts w:ascii="Times New Roman"/>
          <w:b w:val="false"/>
          <w:i w:val="false"/>
          <w:color w:val="000000"/>
          <w:sz w:val="28"/>
        </w:rPr>
        <w:t>
      2) 10-15 тысяч населения – 11-15 членов собрания;</w:t>
      </w:r>
    </w:p>
    <w:bookmarkEnd w:id="20"/>
    <w:bookmarkStart w:name="z27" w:id="21"/>
    <w:p>
      <w:pPr>
        <w:spacing w:after="0"/>
        <w:ind w:left="0"/>
        <w:jc w:val="both"/>
      </w:pPr>
      <w:r>
        <w:rPr>
          <w:rFonts w:ascii="Times New Roman"/>
          <w:b w:val="false"/>
          <w:i w:val="false"/>
          <w:color w:val="000000"/>
          <w:sz w:val="28"/>
        </w:rPr>
        <w:t>
      3) 15-20 тысяч населения – 16-20 членов собрания;</w:t>
      </w:r>
    </w:p>
    <w:bookmarkEnd w:id="21"/>
    <w:bookmarkStart w:name="z28" w:id="22"/>
    <w:p>
      <w:pPr>
        <w:spacing w:after="0"/>
        <w:ind w:left="0"/>
        <w:jc w:val="both"/>
      </w:pPr>
      <w:r>
        <w:rPr>
          <w:rFonts w:ascii="Times New Roman"/>
          <w:b w:val="false"/>
          <w:i w:val="false"/>
          <w:color w:val="000000"/>
          <w:sz w:val="28"/>
        </w:rPr>
        <w:t>
      4) свыше 20 тысяч населения – 21-25 членов собрания.</w:t>
      </w:r>
    </w:p>
    <w:bookmarkEnd w:id="22"/>
    <w:bookmarkStart w:name="z29" w:id="23"/>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23"/>
    <w:bookmarkStart w:name="z30" w:id="24"/>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Типового регламента.</w:t>
      </w:r>
    </w:p>
    <w:bookmarkEnd w:id="24"/>
    <w:bookmarkStart w:name="z31" w:id="2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5"/>
    <w:bookmarkStart w:name="z32" w:id="26"/>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26"/>
    <w:bookmarkStart w:name="z33" w:id="2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7"/>
    <w:bookmarkStart w:name="z34" w:id="28"/>
    <w:p>
      <w:pPr>
        <w:spacing w:after="0"/>
        <w:ind w:left="0"/>
        <w:jc w:val="both"/>
      </w:pPr>
      <w:r>
        <w:rPr>
          <w:rFonts w:ascii="Times New Roman"/>
          <w:b w:val="false"/>
          <w:i w:val="false"/>
          <w:color w:val="000000"/>
          <w:sz w:val="28"/>
        </w:rPr>
        <w:t>
      согласование проекта бюджета сельского округа Атамекен (далее – сельский округ) и отчета об исполнении бюджета;</w:t>
      </w:r>
    </w:p>
    <w:bookmarkEnd w:id="28"/>
    <w:bookmarkStart w:name="z35" w:id="29"/>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9"/>
    <w:bookmarkStart w:name="z36" w:id="30"/>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30"/>
    <w:bookmarkStart w:name="z37" w:id="3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31"/>
    <w:bookmarkStart w:name="z38" w:id="3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32"/>
    <w:bookmarkStart w:name="z39" w:id="33"/>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33"/>
    <w:bookmarkStart w:name="z40" w:id="3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4"/>
    <w:bookmarkStart w:name="z41" w:id="35"/>
    <w:p>
      <w:pPr>
        <w:spacing w:after="0"/>
        <w:ind w:left="0"/>
        <w:jc w:val="both"/>
      </w:pPr>
      <w:r>
        <w:rPr>
          <w:rFonts w:ascii="Times New Roman"/>
          <w:b w:val="false"/>
          <w:i w:val="false"/>
          <w:color w:val="000000"/>
          <w:sz w:val="28"/>
        </w:rPr>
        <w:t>
      согласование представленных акимом Мунайлинского района кандидатур на должность акима сельского округа Атамекен для дальнейшего внесения в соответствующую районную избирательную комиссию для регистрации в качестве кандидата в акимы сельского округа Атамекен;</w:t>
      </w:r>
    </w:p>
    <w:bookmarkEnd w:id="35"/>
    <w:bookmarkStart w:name="z42" w:id="36"/>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36"/>
    <w:bookmarkStart w:name="z43" w:id="3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7"/>
    <w:bookmarkStart w:name="z44" w:id="38"/>
    <w:p>
      <w:pPr>
        <w:spacing w:after="0"/>
        <w:ind w:left="0"/>
        <w:jc w:val="both"/>
      </w:pPr>
      <w:r>
        <w:rPr>
          <w:rFonts w:ascii="Times New Roman"/>
          <w:b w:val="false"/>
          <w:i w:val="false"/>
          <w:color w:val="000000"/>
          <w:sz w:val="28"/>
        </w:rPr>
        <w:t>
      другие текущие вопросы местного сообщества.</w:t>
      </w:r>
    </w:p>
    <w:bookmarkEnd w:id="38"/>
    <w:bookmarkStart w:name="z45" w:id="39"/>
    <w:p>
      <w:pPr>
        <w:spacing w:after="0"/>
        <w:ind w:left="0"/>
        <w:jc w:val="both"/>
      </w:pPr>
      <w:r>
        <w:rPr>
          <w:rFonts w:ascii="Times New Roman"/>
          <w:b w:val="false"/>
          <w:i w:val="false"/>
          <w:color w:val="000000"/>
          <w:sz w:val="28"/>
        </w:rPr>
        <w:t>
      5.  Собрание созывается и проводится акимом сельских округов самостоятельно либо по инициативе не менее десяти процентов членов собрания, но не реже одного раза в квартал.</w:t>
      </w:r>
    </w:p>
    <w:bookmarkEnd w:id="39"/>
    <w:bookmarkStart w:name="z46" w:id="40"/>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40"/>
    <w:bookmarkStart w:name="z47" w:id="41"/>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41"/>
    <w:bookmarkStart w:name="z48" w:id="42"/>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42"/>
    <w:bookmarkStart w:name="z49" w:id="43"/>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43"/>
    <w:bookmarkStart w:name="z50" w:id="44"/>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4"/>
    <w:bookmarkStart w:name="z51" w:id="4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5"/>
    <w:bookmarkStart w:name="z52" w:id="46"/>
    <w:p>
      <w:pPr>
        <w:spacing w:after="0"/>
        <w:ind w:left="0"/>
        <w:jc w:val="both"/>
      </w:pPr>
      <w:r>
        <w:rPr>
          <w:rFonts w:ascii="Times New Roman"/>
          <w:b w:val="false"/>
          <w:i w:val="false"/>
          <w:color w:val="000000"/>
          <w:sz w:val="28"/>
        </w:rPr>
        <w:t>
      8. Созыв собрания открывается акимом сельского округа или уполномоченным им лицом.</w:t>
      </w:r>
    </w:p>
    <w:bookmarkEnd w:id="46"/>
    <w:bookmarkStart w:name="z53" w:id="4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
    <w:bookmarkStart w:name="z54" w:id="48"/>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8"/>
    <w:bookmarkStart w:name="z55" w:id="4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9"/>
    <w:bookmarkStart w:name="z56" w:id="5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0"/>
    <w:bookmarkStart w:name="z57" w:id="5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1"/>
    <w:bookmarkStart w:name="z58" w:id="5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2"/>
    <w:bookmarkStart w:name="z59" w:id="53"/>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53"/>
    <w:bookmarkStart w:name="z60" w:id="5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
    <w:bookmarkStart w:name="z61" w:id="55"/>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5"/>
    <w:bookmarkStart w:name="z62" w:id="5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6"/>
    <w:bookmarkStart w:name="z63" w:id="5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7"/>
    <w:bookmarkStart w:name="z64" w:id="5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8"/>
    <w:bookmarkStart w:name="z65" w:id="5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9"/>
    <w:bookmarkStart w:name="z66" w:id="60"/>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60"/>
    <w:bookmarkStart w:name="z67" w:id="6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
    <w:bookmarkStart w:name="z68" w:id="6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2"/>
    <w:bookmarkStart w:name="z69" w:id="63"/>
    <w:p>
      <w:pPr>
        <w:spacing w:after="0"/>
        <w:ind w:left="0"/>
        <w:jc w:val="both"/>
      </w:pPr>
      <w:r>
        <w:rPr>
          <w:rFonts w:ascii="Times New Roman"/>
          <w:b w:val="false"/>
          <w:i w:val="false"/>
          <w:color w:val="000000"/>
          <w:sz w:val="28"/>
        </w:rPr>
        <w:t>
      1) дата и место проведения собрания;</w:t>
      </w:r>
    </w:p>
    <w:bookmarkEnd w:id="63"/>
    <w:bookmarkStart w:name="z70" w:id="64"/>
    <w:p>
      <w:pPr>
        <w:spacing w:after="0"/>
        <w:ind w:left="0"/>
        <w:jc w:val="both"/>
      </w:pPr>
      <w:r>
        <w:rPr>
          <w:rFonts w:ascii="Times New Roman"/>
          <w:b w:val="false"/>
          <w:i w:val="false"/>
          <w:color w:val="000000"/>
          <w:sz w:val="28"/>
        </w:rPr>
        <w:t>
      2) количество и список членов собрания;</w:t>
      </w:r>
    </w:p>
    <w:bookmarkEnd w:id="64"/>
    <w:bookmarkStart w:name="z71" w:id="6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5"/>
    <w:bookmarkStart w:name="z72" w:id="6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6"/>
    <w:bookmarkStart w:name="z73" w:id="6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7"/>
    <w:bookmarkStart w:name="z74" w:id="6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8"/>
    <w:bookmarkStart w:name="z75" w:id="69"/>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69"/>
    <w:bookmarkStart w:name="z76" w:id="70"/>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70"/>
    <w:bookmarkStart w:name="z77" w:id="71"/>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71"/>
    <w:bookmarkStart w:name="z78" w:id="7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72"/>
    <w:bookmarkStart w:name="z79" w:id="73"/>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73"/>
    <w:bookmarkStart w:name="z80" w:id="74"/>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4"/>
    <w:bookmarkStart w:name="z81" w:id="75"/>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5"/>
    <w:bookmarkStart w:name="z82" w:id="76"/>
    <w:p>
      <w:pPr>
        <w:spacing w:after="0"/>
        <w:ind w:left="0"/>
        <w:jc w:val="both"/>
      </w:pPr>
      <w:r>
        <w:rPr>
          <w:rFonts w:ascii="Times New Roman"/>
          <w:b w:val="false"/>
          <w:i w:val="false"/>
          <w:color w:val="000000"/>
          <w:sz w:val="28"/>
        </w:rPr>
        <w:t xml:space="preserve">
      16. Решения, принятые на созыве собрания, распространяются аппаратом акима сельского округа через средства массовой информации или иными способами. </w:t>
      </w:r>
    </w:p>
    <w:bookmarkEnd w:id="76"/>
    <w:bookmarkStart w:name="z83" w:id="7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7"/>
    <w:bookmarkStart w:name="z84" w:id="7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78"/>
    <w:bookmarkStart w:name="z85" w:id="79"/>
    <w:p>
      <w:pPr>
        <w:spacing w:after="0"/>
        <w:ind w:left="0"/>
        <w:jc w:val="both"/>
      </w:pPr>
      <w:r>
        <w:rPr>
          <w:rFonts w:ascii="Times New Roman"/>
          <w:b w:val="false"/>
          <w:i w:val="false"/>
          <w:color w:val="000000"/>
          <w:sz w:val="28"/>
        </w:rPr>
        <w:t xml:space="preserve">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 </w:t>
      </w:r>
    </w:p>
    <w:bookmarkEnd w:id="79"/>
    <w:bookmarkStart w:name="z86" w:id="80"/>
    <w:p>
      <w:pPr>
        <w:spacing w:after="0"/>
        <w:ind w:left="0"/>
        <w:jc w:val="both"/>
      </w:pPr>
      <w:r>
        <w:rPr>
          <w:rFonts w:ascii="Times New Roman"/>
          <w:b w:val="false"/>
          <w:i w:val="false"/>
          <w:color w:val="000000"/>
          <w:sz w:val="28"/>
        </w:rPr>
        <w:t xml:space="preserve">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 </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