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c6eb" w14:textId="e92c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июля 2018 года № 22/193. Зарегистрировано Департаментом юстиции Мангистауской области 30 июля 2018 года № 3695.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Тупкараганского районного маслихата от 11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№17/111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15 января 2014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внесенным решением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регистрации актов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А.Изтлеуова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