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a8a6" w14:textId="e74a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8 июня 2018 года № 164-26/11. Зарегистрировано Департаментом юстиции Кызылординской области 25 июня 2018 года № 6342. Утратило силу решением Кызылординского городского маслихата от 24 декабря 2025 года № 320-45/7.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24.12.2025 </w:t>
      </w:r>
      <w:r>
        <w:rPr>
          <w:rFonts w:ascii="Times New Roman"/>
          <w:b w:val="false"/>
          <w:i w:val="false"/>
          <w:color w:val="ff0000"/>
          <w:sz w:val="28"/>
        </w:rPr>
        <w:t>№ 320-45/7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 (Налоговый кодекс)" и с пунктом 1-13)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земельного налога по городу Кызылорда на 20 (двадцать)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на основании проектов (схем) зонирования земель, проводимого в соответствии с земельным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Кызылординского городского маслихата от 16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42/5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налога" (зарегистрированного в Реестре государственной регистрации нормативных правовых актов №4986, опубликованного в газетах "Ақмешіт ақшамы" № 40-41, "Кызылорда таймс" № 21 от 27 мая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опубликования, за исключением пункта 1, который вводится в действие с 1 января 2019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ХХVІ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КОЖАНИЯЗОВА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БОХАНОВА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Кызылорда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Кызылординской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Н.Нурсейтов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"08" июня 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