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bb09" w14:textId="ceeb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декабря 2018 года № 1283. Зарегистрировано Департаментом юстиции Кызылординской области 14 декабря 2018 года № 6564. Утратило силу постановлением акимата Кызылординской области от 5 сентября 2019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05.09.2019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номером 6214, опубликовано 29 марта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13 декабря 2018 года №1283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 государственное учреждение "Управление сельского хозяйства Кызылординской области" (далее -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граждан"" (далее - Государственная корпорация).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№ 11284) (далее – стандарт)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(либо его представителя: для юридического лица по документу, подтверждающему полномочия; для физического лица по нотариально заверенной доверенности) (далее -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двадцати минут). Результат процедуры (действия): предоставление документов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 (далее – Правила) и обеспечивает направление в Государственную корпорацию уведомления о назначении/не назначении субсидии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отказа в оказании государственной услуги (далее - мотивированный отказ) (в течение трех рабочих дней). Результат процедуры (действия): направление уведомления либо мотивированного отказа в Государственную корпорацию;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регистрирует документы и выдает услугополучателю либо его представителю результат оказания государственной услуги (в течение двадцати минут). Результат процедуры (действия): выдача услугополучателю либо его представителю результата оказания государственной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решения о назначении субсидии, исполнитель услугодателя предоставляет в территориальное подразделение казначейства реестр счетов к оплате для перечисления причитающихся субсидий на счета перерабатывающих предприятий (далее – реестр счетов к оплате) (в течение двух рабочих дней). Результат процедуры (действия): предоставление в территориальное подразделение казначейства реестра счетов к оплате.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управления Государственной корпорации;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