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76d91" w14:textId="4976d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12 января 2018 года № 1017. Зарегистрировано Департаментом юстиции Кызылординской области 26 января 2018 года № 6155. Утратило силу постановлением акимата Кызылординской области от 6 февраля 2020 года № 163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Кызылординской области от 06.02.2020 </w:t>
      </w:r>
      <w:r>
        <w:rPr>
          <w:rFonts w:ascii="Times New Roman"/>
          <w:b w:val="false"/>
          <w:i w:val="false"/>
          <w:color w:val="ff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Кызылординской области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справки по определению адреса объектов недвижимости на территории Республики Казахстан";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"Предоставление исходных материалов при разработке проектов строительства и реконструкции (перепланировки и переоборудования)";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исключен постановлением акимата Кызылординской области от 19.07.2019 </w:t>
      </w:r>
      <w:r>
        <w:rPr>
          <w:rFonts w:ascii="Times New Roman"/>
          <w:b w:val="false"/>
          <w:i w:val="false"/>
          <w:color w:val="00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некоторые постановления акимата Кызылординской области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Кызылординской области Сулейменова С.Ж.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по истечении десяти календарных дней после дня первого официального опубликования.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акимата Кызылординской области от "12" января 2018 года года № 1017 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Кызылординской области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Постановление акимата Кызылординской области от 10 июля 2015 года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услуг" (зарегистрировано в Реестре государственной регистрации нормативных правовых актов за номером 5098, опубликовано 8 августа 2015 года в газетах "Кызылординские вести" и "Сыр бойы").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Постановление акимата Кызылординской области от 29 февраля 2016 года </w:t>
      </w:r>
      <w:r>
        <w:rPr>
          <w:rFonts w:ascii="Times New Roman"/>
          <w:b w:val="false"/>
          <w:i w:val="false"/>
          <w:color w:val="000000"/>
          <w:sz w:val="28"/>
        </w:rPr>
        <w:t>№ 369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акимата Кызылординской области от 10 июля 2015 года № 84 "Об утверждении регламентов государственных услуг" (зарегистрировано в Реестре государственной регистрации нормативных правовых актов за номером 5431, опубликовано 28 апреля 2016 года в газетах "Кызылординские вести" и "Сыр бойы").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Постановление акимата Кызылординской области от 12 октября 2016 года </w:t>
      </w:r>
      <w:r>
        <w:rPr>
          <w:rFonts w:ascii="Times New Roman"/>
          <w:b w:val="false"/>
          <w:i w:val="false"/>
          <w:color w:val="000000"/>
          <w:sz w:val="28"/>
        </w:rPr>
        <w:t>№ 612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акимата Кызылординской области от 10 июля 2015 года № 84 "Об утверждении регламентов государственных услуг" (зарегистрировано в Реестре государственной регистрации нормативных правовых актов за номером 5641, опубликовано 15 ноября 2016 года в информационно-правовой системе нормативных правовых актов Республики Казахстан "Әділет").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акимата Кызылординской области от "12" января 2018 года № 1017 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справки по определению адреса объектов недвижимости на территории Республики Казахстан"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– в редакции постановления акимата Кызылординской области от 09.04.2019 </w:t>
      </w:r>
      <w:r>
        <w:rPr>
          <w:rFonts w:ascii="Times New Roman"/>
          <w:b w:val="false"/>
          <w:i w:val="false"/>
          <w:color w:val="ff0000"/>
          <w:sz w:val="28"/>
        </w:rPr>
        <w:t>№ 1366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Наименование услугодателя: структурное подразделение местного исполнительного органа района, города областного значения, осуществляющее функции в сфере строительства, архитектуры и градостроительства (далее – услугодатель).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 для получения справки по уточнению адреса объектов недвижимости (в случае отсутствия информации в информационной системе "Адресный регистр" услугополучатель обращается в Государственную корпорацию).".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электронная (частично автоматизированная) и (или) бумажная.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справка по уточнению адреса объектов недвижимости (без истории/с историей), справка о присвоении адреса объекта недвижимости или об упразднении адреса объекта недвижимости, с выездом на место нахождения объекта недвижимости и с обязательной регистрацией его в информационной системе "Адресный регистр" с указанием регистрационного кода адреса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справка) либо мотивированный отказ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справки по определению адреса объектов недвижимости на территории Республики Казахстан", утвержденного приказом исполняющего обязанности Министра национальной экономики Республики Казахстан от 27 марта 2015 года № 257 "Об утверждении стандартов государственных услуг "Выдача справки по определению адреса объектов недвижимости на территории Республики Казахстан", "Предоставление исходных материалов при разработке проектов строительства и реконструкции (перепланировки и переоборудования)" 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 (зарегистрирован в Реестре государственной регистрации нормативных правовых актов за номером 11018) (далее – стандарт).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результатом оказания государственной услуги на бумажном носителе, результат оказания государственной услуги оформляется в электронной форме, распечатывается.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электронная.</w:t>
      </w:r>
    </w:p>
    <w:bookmarkEnd w:id="15"/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взаимодействия с Государственной корпорацией и (или) иными услугодателями в процессе оказания государственной услуги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Основание для начала процедуры (действия) по оказанию государственной услуги: обращение услугополучателя либо его представителя по доверенности (далее – услугополучатель) в Государственную корпорацию с пакетом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их выполнения: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услугополучатель предоставляет в Государственную корпорацию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Результат процедуры (действия): предоставление пакета документов;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регистрирует документы, при наличии сведений в информационной системе "Адресный регистр" распечатывает справку с информационной системы "Адресный регистр" и выдает услугополучателю (не более пятнадцати минут). Результат процедуры (действия): выдача справки (без истории/с историей);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архивных сведений об изменении адреса объекта недвижимости в информационной системе "Адресный регистр", работник Государственной корпорации регистрирует документы, выдает услугополучателю расписку о приеме соответствующих документов;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(или) документов с истекшим сроком, отказывает в приеме заявления и выдает расписку об отказе в приеме заявления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(не более двадцати минут). Результат процедуры (действия): выдача услугополучателю расписки о приеме либо об отказе в приеме документов;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накопительного отдела Государственной корпорации направляет документы услугодателю (в течение одного рабочего дня, день приема документов не входит в срок оказания государственной услуги). Результат процедуры (действия): направление документов услугодателю;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сотрудник канцелярии услугодателя регистрирует документы (не более двадцати минут). Результат процедуры (действия): предоставление документов руководителю услугодателя;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рассматривает документы и определяет ответственного исполнителя услугодателя (не более одного часа). Результат процедуры (действия): направление документов исполнителю услугодателя;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исполнитель услугодателя рассматривает документы, в случае несоответствия представленных документов основаниям,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подготавливает проект мотивированного отказа в оказании государственной услуги (далее – мотивированный отказ) (в течение одного рабочего дня);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соответствия представленных документов установленным требованиям, подготавливает проект справки о присвоении адреса объекта недвижимости либо об упразднении адреса объекта недвижимости, с выездом на место нахождения объекта недвижимости и с обязательной регистрацией его в информационной системе "Адресный регистр" с указанием регистрационного кода адреса (в течение пяти рабочих дней). Результат процедуры (действия): предоставление на подпись руководителю услугодателя проекта мотивированного отказа либо справки;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руководитель услугодателя подписывает мотивированный отказ либо справку (не более одного часа). Результат процедуры (действия): направление подписанного результата оказания государственной услуги сотруднику канцелярии услугодателя;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сотрудник канцелярии услугодателя регистрирует результат оказания государственной услуги (в течение одного часа). Результат процедуры (действия): направление результата оказания государственной услуги в Государственную корпорацию;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работник Государственной корпорации регистрирует результат оказания государственной услуги (не более двадцати минут). Результат процедуры (действия): выдача услугополучателю результата оказания государственной услуги.</w:t>
      </w:r>
    </w:p>
    <w:bookmarkEnd w:id="31"/>
    <w:bookmarkStart w:name="z4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и иных организаций в процессе оказания государственной услуги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Перечень структурных подразделений (работников) услугодателя и иных организаций, которые участвуют в процессе оказания государственной услуги: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Государственной корпорации;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накопительного отдела Государственной корпорации;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услугодателя;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исполнитель услугодателя.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Подробное описание последовательности процедур (действий), взаимодействия структурных подразделений (работников) услугодателя в процессе оказания государственной услуги, а также описание порядка взаимодействия с другими услугодателями и (или) Государственной корпорацией в процессе оказания государственной услуги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официальных интернет-ресурсах государственного учреждения "Управление строительства, архитектуры и градостроительства Кызылординской области", акимата Кызылординской области, акиматов районов и города Кызылорды.</w:t>
      </w:r>
    </w:p>
    <w:bookmarkEnd w:id="40"/>
    <w:bookmarkStart w:name="z4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Описание порядка обращения и последовательности процедур (действий) услугодателя и услугополучателя при оказании государственных услуг через портал: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услугополучатель осуществляет регистрацию на портале с помощью индивидуального идентификационного номера (далее - ИИН) и пароля;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услугодатель вводит ИИН и пароль (процесс авторизации) на портале для получения электронной государственной услуги;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введения ИИН и пароля на портале производится проверка подлинности данных о регистрированном услугополучателе через ИИН и пароль;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услугополучатель выбирает услугу "Выдача справки по уточнению адреса объектов недвижимости (без истории/с историей)", в это время на экран выводится форма электронного запроса для оказания услуги и услугополучатель заполняет данную форму (ввод данных) с учетом ее структуры и форматных требований;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услугополучатель подписывает посредством своей электронной цифровой подписи (далее – ЭЦП) заполненную форму запроса на оказание электронной государственной услуги;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на портале производится проверка соответствия идентификационных данных (между ИИН, указанным в запросе и ИИН, указанным в регистрационном свидетельстве ЭЦП), срока действия регистрационного свидетельства ЭЦП и отсутствия в списке отозванных (аннулированных) регистрационных свидетельств);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электронный документ (запрос услугополучателя), подписанный ЭЦП, направляется через информационную систему "Адресный регистр" в Электронный реестр по уточнению адреса объектов недвижимости;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формируется ответ результата оказания государственной услуги. Формируется электронный документ (справка) и передается в "личный кабинет" услугополучателя на портале.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услуги, в графической форме,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"Выдача справки по определению адреса объектов недвижимости на территории Республики Казахстан"</w:t>
            </w:r>
          </w:p>
        </w:tc>
      </w:tr>
    </w:tbl>
    <w:bookmarkStart w:name="z61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3"/>
    <w:p>
      <w:pPr>
        <w:spacing w:after="0"/>
        <w:ind w:left="0"/>
        <w:jc w:val="both"/>
      </w:pPr>
      <w:r>
        <w:drawing>
          <wp:inline distT="0" distB="0" distL="0" distR="0">
            <wp:extent cx="7810500" cy="410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0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4"/>
    <w:p>
      <w:pPr>
        <w:spacing w:after="0"/>
        <w:ind w:left="0"/>
        <w:jc w:val="both"/>
      </w:pPr>
      <w:r>
        <w:drawing>
          <wp:inline distT="0" distB="0" distL="0" distR="0">
            <wp:extent cx="7810500" cy="237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37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"Выдача справки по определению адреса объектов недвижимости на территории Республики Казахстан"</w:t>
            </w:r>
          </w:p>
        </w:tc>
      </w:tr>
    </w:tbl>
    <w:bookmarkStart w:name="z65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информацинных систем, задействованных в оказании государственной услуги, в графической форме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6"/>
    <w:p>
      <w:pPr>
        <w:spacing w:after="0"/>
        <w:ind w:left="0"/>
        <w:jc w:val="both"/>
      </w:pPr>
      <w:r>
        <w:drawing>
          <wp:inline distT="0" distB="0" distL="0" distR="0">
            <wp:extent cx="7810500" cy="633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33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акимата Кызылординской области от "12" января 2018 года № 1017 </w:t>
            </w:r>
          </w:p>
        </w:tc>
      </w:tr>
    </w:tbl>
    <w:bookmarkStart w:name="z7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исходных материалов при разработке проектов строительства и реконструкции (перепланировки и переоборудования)"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– в редакции постановления акимата Кызылординской области от 09.04.2019 </w:t>
      </w:r>
      <w:r>
        <w:rPr>
          <w:rFonts w:ascii="Times New Roman"/>
          <w:b w:val="false"/>
          <w:i w:val="false"/>
          <w:color w:val="ff0000"/>
          <w:sz w:val="28"/>
        </w:rPr>
        <w:t>№ 1366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70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Наименование услугодателя: структурное подразделение местного исполнительного органа района, города областного значения, осуществляющее функции в сфере строительства, архитектуры и градостроительства (далее – услугодатель). 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www.e.gov.kz (далее – портал).</w:t>
      </w:r>
    </w:p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Форма оказания государственной услуги – электронная (частично автоматизированная) и (или) бумажная.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архитектурно-планировочное задание (далее – АПЗ)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"Предоставление исходных материалов при разработке проектов строительства и реконструкции (перепланировки и переоборудования)", утвержденного приказом исполняющего обязанности Министра национальной экономики Республики Казахстан от 27 марта 2015 года № 257 "Об утверждении стандартов государственных услуг "Выдача справки по определению адреса объектов недвижимости на территории Республики Казахстан", "Предоставление исходных материалов при разработке проектов строительства и реконструкции (перепланировки и переоборудования)" 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 (зарегистрирован в Реестре государственной регистрации нормативных правовых актов за номером 11018) (далее – стандарт);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(далее – ТУ);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трасс наружных инженерных сетей;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выкопировка из проекта детальной планировки (далее – выкопировка из ПДП);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вертикальные планировочные отметки;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поперечные профили дорог и улиц;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местного исполнительного органа на реконструкцию (перепланировку, переоборудование) (далее – решение);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мотивированный ответ об отказе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электронная.</w:t>
      </w:r>
    </w:p>
    <w:bookmarkEnd w:id="71"/>
    <w:bookmarkStart w:name="z86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взаимодействия с Государственной корпорацией и (или) иными услугодателями в процессе оказания государственной услуги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 для начала процедуры (действия) по оказанию государственной услуги: обращение услугополучателя либо его представителя по доверенности (далее – услугополучатель) в Государственную корпорацию с пакетом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их выполнения: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предоставляет в Государственную корпорацию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Результат процедуры (действия): предоставление пакета документов;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работник Государственной корпорации регистрирует документы, выдает услугополучателю расписку о приеме соответствующих документов,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(или) документов с истекшим сроком, отказывает в приеме заявления и выдает расписку об отказе в приеме заявления по форме, согласно приложению 5 к стандарту (не более двадцати минут). Результат процедуры (действия): выдача услугополучателю расписки о приеме либо об отказе в приеме документов;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Казахстан;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накопительного отдела Государственной корпорации направляет документы услугодателю (в течение одного рабочего дня, день приема документов не входит в срок оказания государственной услуги). Результат процедуры (действия): направление документов услугодателю;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сотрудник канцелярии услугодателя регистрирует документы (не более тридцати минут). Результат процедуры (действия): предоставление документов руководителю услугодателя;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рассматривает документы и определяет ответственного исполнителя услугодателя (не более одного часа). Результат процедуры (действия): направление документов исполнителю услугодателя;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исполнитель услугодателя рассматривает документы, в случае несоответствия представленных документов основаниям, предусмотренным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подготавливает и обеспечивает направление мотивированного отказа в Государственную корпорацию (в течение четырех рабочих дней).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соответствия представленных документов установленным требованиям, направляет в коммунальные учреждения опросный лист для ТУ на подключение к источникам инженерного и коммунального обеспечения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(в день регистрации документов). Результат процедуры (действия): регистрация и выдача услугополучателю через Государственную корпорацию мотивированного отказа либо направление в коммунальные учреждения опросного листа для ТУ;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коммунальные учреждения рассматривают опросный лист и подготавливают ТУ (в течение пяти рабочих дней). Результат процедуры (действия): направление ТУ услугодателю;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исполнитель услугодателя рассматривает ТУ, и на основании ТУ, а также предоставленных документов подготавливает: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АПЗ несложных объектов (в течение одного рабочего дня);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исходные материалы несложных объектов (в течение девяти рабочих дней);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АПЗ сложных объектов (в течение девяти рабочих дней);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исходные материалы сложных объектов (в течение одиннадцати рабочих дней);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исходные материалы и разрешительные документы – в течение четырнадцати рабочих дней (при дополнительном подключении и/или увеличении нагрузок – в течение девяти рабочих дней). Результат процедуры (действия): предоставление на подпись руководителю услугодателя проект результата оказания государственной услуги;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руководитель услугодателя подписывает результат оказания государственной услуги (не более одного часа). Результат процедуры (действия): направление результата оказания государственной услуги сотруднику канцелярии услугодателя;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сотрудник канцелярии услугодателя регистрирует результат оказания государственной услуги (в течение одного часа). Результат процедуры (действия): направление результата оказания государственной услуги в Государственную корпорацию;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работник Государственной корпорации регистрирует результат оказания государственной услуги (не более двадцати минут). Результат процедуры (действия): выдача услугополучателю результата оказания государственной услуги.</w:t>
      </w:r>
    </w:p>
    <w:bookmarkEnd w:id="92"/>
    <w:bookmarkStart w:name="z107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и иных организаций в процессе оказания государственной услуги</w:t>
      </w:r>
    </w:p>
    <w:bookmarkEnd w:id="93"/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Перечень структурных подразделений (работников) услугодателя и иных организаций, которые участвуют в процессе оказания государственной услуги:</w:t>
      </w:r>
    </w:p>
    <w:bookmarkEnd w:id="94"/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Государственной корпорации;</w:t>
      </w:r>
    </w:p>
    <w:bookmarkEnd w:id="95"/>
    <w:bookmarkStart w:name="z11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накопительного отдела Государственной корпорации;</w:t>
      </w:r>
    </w:p>
    <w:bookmarkEnd w:id="96"/>
    <w:bookmarkStart w:name="z11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услугодателя;</w:t>
      </w:r>
    </w:p>
    <w:bookmarkEnd w:id="97"/>
    <w:bookmarkStart w:name="z11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услугодателя;</w:t>
      </w:r>
    </w:p>
    <w:bookmarkEnd w:id="98"/>
    <w:bookmarkStart w:name="z11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исполнитель услугодателя;</w:t>
      </w:r>
    </w:p>
    <w:bookmarkEnd w:id="99"/>
    <w:bookmarkStart w:name="z11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коммунальные учреждения электроснабжения, газоснабжения, теплоснабжения, водоснабжения и канализации;</w:t>
      </w:r>
    </w:p>
    <w:bookmarkEnd w:id="100"/>
    <w:bookmarkStart w:name="z11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геоинформационный сервис акимата Кызылординской области (далее – "Геосервис").</w:t>
      </w:r>
    </w:p>
    <w:bookmarkEnd w:id="101"/>
    <w:bookmarkStart w:name="z11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Подробное описание последовательности процедур (действий), взаимодействия структурных подразделений (работников) услугодателя в процессе оказания государственной услуги, а также описание порядка взаимодействия с другими услугодателями и (или) Государственной корпорацией в процессе оказания государственной услуги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2"/>
    <w:bookmarkStart w:name="z11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официальных интернет-ресурсах государственного учреждения "Управление строительства, архитектуры и градостроительства Кызылординской области", акимата Кызылординской области, акиматов районов и города Кызылорды.</w:t>
      </w:r>
    </w:p>
    <w:bookmarkEnd w:id="103"/>
    <w:bookmarkStart w:name="z118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bookmarkEnd w:id="104"/>
    <w:bookmarkStart w:name="z11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Описание порядка обращения и последовательности процедур (действий) услугодателя и услугополучателя при оказании государственных услуг через портал:</w:t>
      </w:r>
    </w:p>
    <w:bookmarkEnd w:id="105"/>
    <w:bookmarkStart w:name="z1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регистрируется на портале и направляет запрос в форме электронного документа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4 к стандарту (далее – электронный запрос), удостоверенный электронной цифровой подписью (далее – ЭЦП) услугополучателя. Результат процедуры (действия): направление пакета документов;</w:t>
      </w:r>
    </w:p>
    <w:bookmarkEnd w:id="106"/>
    <w:bookmarkStart w:name="z1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исполнитель услугодателя регистрирует электронный запрос, направляет в "личный кабинет" услугополучателя уведомление о принятии электронного запроса с указанием даты и времени приема запроса (не более тридцати минут). Результат процедуры (действия): предоставление документов руководителю услугодателя;</w:t>
      </w:r>
    </w:p>
    <w:bookmarkEnd w:id="107"/>
    <w:bookmarkStart w:name="z1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рассматривает документы (не более одного часа). Результат процедуры (действия): направление документов исполнителю услугодателя;</w:t>
      </w:r>
    </w:p>
    <w:bookmarkEnd w:id="108"/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исполнитель услугодателя с момента получения документов услугополучателя проверяет полноту представленных документов, в случае установления факта неполноты представленных документов, подготавливает отказ в рассмотрении заявления (в течение двух рабочих дней). Результат процедуры (действия): направление отказа в рассмотрении заявления в "личный кабинет" услугополучателя;</w:t>
      </w:r>
    </w:p>
    <w:bookmarkEnd w:id="109"/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несоответствия представленных документов основаниям, предусмотренным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подготавливает мотивированный отказ (в течение четырех рабочих дней). Результат процедуры (действия): направление мотивированного отказа в "личный кабинет" услугополучателя;</w:t>
      </w:r>
    </w:p>
    <w:bookmarkEnd w:id="110"/>
    <w:bookmarkStart w:name="z1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соответствия представленных документов установленным требованиям, направляет в коммунальные учреждения опросный лист для ТУ на подключение к источникам инженерного и коммунального обеспечения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(в день регистрации документов). Результат процедуры (действия): направление опросного листа для ТУ в коммунальные учреждения;</w:t>
      </w:r>
    </w:p>
    <w:bookmarkEnd w:id="111"/>
    <w:bookmarkStart w:name="z12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коммунальные учреждения рассматривают опросный лист и подготавливают ТУ (в течение пяти рабочих дней). Результат процедуры (действия): направление ТУ услугодателю;</w:t>
      </w:r>
    </w:p>
    <w:bookmarkEnd w:id="112"/>
    <w:bookmarkStart w:name="z12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исполнитель услугодателя рассматривает ТУ, и на основании ТУ, а также предоставленных документов подготавливает:</w:t>
      </w:r>
    </w:p>
    <w:bookmarkEnd w:id="113"/>
    <w:bookmarkStart w:name="z12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АПЗ несложных объектов (в течение одного рабочего дня);</w:t>
      </w:r>
    </w:p>
    <w:bookmarkEnd w:id="114"/>
    <w:bookmarkStart w:name="z12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исходные материалы несложных объектов (в течение девяти рабочих дней);</w:t>
      </w:r>
    </w:p>
    <w:bookmarkEnd w:id="115"/>
    <w:bookmarkStart w:name="z13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АПЗ сложных объектов (в течение девяти рабочих дней);</w:t>
      </w:r>
    </w:p>
    <w:bookmarkEnd w:id="116"/>
    <w:bookmarkStart w:name="z13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исходные материалы сложных объектов (в течение одиннадцати рабочих дней);</w:t>
      </w:r>
    </w:p>
    <w:bookmarkEnd w:id="117"/>
    <w:bookmarkStart w:name="z13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исходные материалы и разрешительные документы – в течение четырнадцати рабочих дней (при дополнительном подключении и/или увеличении нагрузок – в течение девяти рабочих дней). Результат процедуры (действия): предоставление на подпись руководителю услугодателя проект результата оказания государственной услуги;</w:t>
      </w:r>
    </w:p>
    <w:bookmarkEnd w:id="118"/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услугодателя подписывает результат оказания государственной услуги (не более одного часа). Результат процедуры (действия): направление результата оказания государственной услуги исполнителю услугодателя;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исполнитель услугодателя регистрирует результат оказания государственной услуги (не более тридцати минут). Результат процедуры (действия): направление результата оказания государственной услуги в "личный кабинет" услугополучателя.</w:t>
      </w:r>
    </w:p>
    <w:bookmarkEnd w:id="120"/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услуги, в графической форме,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21"/>
    <w:bookmarkStart w:name="z136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Описание порядка использования информационной системы "Геосервис" в процессе оказания государственной услуги</w:t>
      </w:r>
    </w:p>
    <w:bookmarkEnd w:id="122"/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Описание порядка обращения и последовательности процедур (действий) услугодателя и услугополучателя при получении услугополучателем ТУ через Геосервис.</w:t>
      </w:r>
    </w:p>
    <w:bookmarkEnd w:id="123"/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регистрируется на Геосервисе и направляет в коммунальные учреждения опросный лист для ТУ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форме электронного документа, удостоверенный ЭЦП услугополучателя. Результат процедуры (действия): направление опросного листа;</w:t>
      </w:r>
    </w:p>
    <w:bookmarkEnd w:id="124"/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коммунальные учреждения на основании опросного листа подготавливают ТУ (в течение пяти рабочих дней). Результат процедуры (действия): направление услугополучателю ТУ через Геосервис;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услугополучатель регистрируется на портале и направляет электронный запрос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4 к стандарту, удостоверенный ЭЦП услугополучателя, а также ТУ, полученные через Геосервис. Результат процедуры (действия): направление пакета документов и ТУ;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исполнитель услугодателя регистрирует электронный запрос, а также ТУ, полученные через Геосервис, направляет в "личный кабинет" услугополучателя уведомление о принятии электронного запроса и ТУ с указанием даты и времени приема запроса (не более тридцати минут). Результат процедуры (действия): предоставление документов и ТУ руководителю услугодателя;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рассматривает документы (не более одного часа). Результат процедуры (действия): направление документов и ТУ исполнителю услугодателя;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исполнитель услугодателя с момента получения документов услугополучателя проверяет полноту представленных документов, в случае установления факта неполноты представленных документов, подготавливает отказ в рассмотрении заявления (в течение двух рабочих дней). Результат процедуры (действия): направление отказа в рассмотрении заявления в "личный кабинет" услугополучателя;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несоответствия представленных документов основаниям, предусмотренным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подготавливает мотивированный отказ (в течение четырех рабочих дней). Результат процедуры (действия): направление мотивированного отказа в "личный кабинет" услугополучателя; 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соответствия представленных документов установленным требованиям, на основании ТУ, а также предоставленных документов подготавливает:</w:t>
      </w:r>
    </w:p>
    <w:bookmarkEnd w:id="131"/>
    <w:bookmarkStart w:name="z14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АПЗ несложных объектов (в течение одного рабочего дня);</w:t>
      </w:r>
    </w:p>
    <w:bookmarkEnd w:id="132"/>
    <w:bookmarkStart w:name="z14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исходные материалы несложных объектов (в течение девяти рабочих дней);</w:t>
      </w:r>
    </w:p>
    <w:bookmarkEnd w:id="133"/>
    <w:bookmarkStart w:name="z14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АПЗ сложных объектов (в течение девяти рабочих дней);</w:t>
      </w:r>
    </w:p>
    <w:bookmarkEnd w:id="134"/>
    <w:bookmarkStart w:name="z14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исходные материалы сложных объектов (в течение одиннадцати рабочих дней);</w:t>
      </w:r>
    </w:p>
    <w:bookmarkEnd w:id="135"/>
    <w:bookmarkStart w:name="z15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исходные материалы и разрешительные документы (при дополнительном подключении и/или увеличении нагрузок) – в течение девяти рабочих дней. Результат процедуры (действия): предоставление на подпись руководителю услугодателя проект результата оказания государственной услуги;</w:t>
      </w:r>
    </w:p>
    <w:bookmarkEnd w:id="136"/>
    <w:bookmarkStart w:name="z15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услугодателя подписывает результат оказания государственной услуги (не более одного часа). Результат процедуры (действия): направление результата оказания государственной услуги исполнителю услугодателя;</w:t>
      </w:r>
    </w:p>
    <w:bookmarkEnd w:id="137"/>
    <w:bookmarkStart w:name="z15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исполнитель услугодателя регистрирует результат оказания государственной услуги (не более тридцати минут). Результат процедуры (действия): направление результата оказания государственной услуги в "личный кабинет" услугополучателя.</w:t>
      </w:r>
    </w:p>
    <w:bookmarkEnd w:id="138"/>
    <w:bookmarkStart w:name="z15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услуги, в графической форме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"Предоставление исходных материалов при разработке проектов строительства и реконструкции (перепланировки и переоборудования)"</w:t>
            </w:r>
          </w:p>
        </w:tc>
      </w:tr>
    </w:tbl>
    <w:bookmarkStart w:name="z155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140"/>
    <w:bookmarkStart w:name="z15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либо его представителя в Государственную корпорацию:</w:t>
      </w:r>
    </w:p>
    <w:bookmarkEnd w:id="141"/>
    <w:bookmarkStart w:name="z15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2"/>
    <w:p>
      <w:pPr>
        <w:spacing w:after="0"/>
        <w:ind w:left="0"/>
        <w:jc w:val="both"/>
      </w:pPr>
      <w:r>
        <w:drawing>
          <wp:inline distT="0" distB="0" distL="0" distR="0">
            <wp:extent cx="7810500" cy="400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3"/>
    <w:p>
      <w:pPr>
        <w:spacing w:after="0"/>
        <w:ind w:left="0"/>
        <w:jc w:val="both"/>
      </w:pPr>
      <w:r>
        <w:drawing>
          <wp:inline distT="0" distB="0" distL="0" distR="0">
            <wp:extent cx="7810500" cy="461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1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4"/>
    <w:p>
      <w:pPr>
        <w:spacing w:after="0"/>
        <w:ind w:left="0"/>
        <w:jc w:val="both"/>
      </w:pPr>
      <w:r>
        <w:drawing>
          <wp:inline distT="0" distB="0" distL="0" distR="0">
            <wp:extent cx="7810500" cy="252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52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"Предоставление исходных материалов при разработке проектов строительства и реконструкции (перепланировки и переоборудования)"</w:t>
            </w:r>
          </w:p>
        </w:tc>
      </w:tr>
    </w:tbl>
    <w:bookmarkStart w:name="z161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информацинных систем, задействованных в оказании государственной услуги, в графической форме</w:t>
      </w:r>
    </w:p>
    <w:bookmarkEnd w:id="145"/>
    <w:bookmarkStart w:name="z16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через портал:</w:t>
      </w:r>
    </w:p>
    <w:bookmarkEnd w:id="146"/>
    <w:bookmarkStart w:name="z16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7"/>
    <w:p>
      <w:pPr>
        <w:spacing w:after="0"/>
        <w:ind w:left="0"/>
        <w:jc w:val="both"/>
      </w:pPr>
      <w:r>
        <w:drawing>
          <wp:inline distT="0" distB="0" distL="0" distR="0">
            <wp:extent cx="5765800" cy="904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5800" cy="904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через Геосервис:</w:t>
      </w:r>
    </w:p>
    <w:bookmarkEnd w:id="148"/>
    <w:bookmarkStart w:name="z16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9"/>
    <w:p>
      <w:pPr>
        <w:spacing w:after="0"/>
        <w:ind w:left="0"/>
        <w:jc w:val="both"/>
      </w:pPr>
      <w:r>
        <w:drawing>
          <wp:inline distT="0" distB="0" distL="0" distR="0">
            <wp:extent cx="4749800" cy="902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749800" cy="902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