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3f5c" w14:textId="3da3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Бухар - Жыраускому району на 2018 - 2019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22 сессии Бухар - Жырауского районного маслихата Карагандинской области от 29 марта 2018 года № 10. Зарегистрировано Департаментом юстиции Карагандинской области 18 апреля 2018 года № 4709.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Республики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 xml:space="preserve">План </w:t>
      </w:r>
      <w:r>
        <w:rPr>
          <w:rFonts w:ascii="Times New Roman"/>
          <w:b w:val="false"/>
          <w:i w:val="false"/>
          <w:color w:val="000000"/>
          <w:sz w:val="28"/>
        </w:rPr>
        <w:t>по управлению пастбищами и их использованию по Бухар-Жыраускому району на 2018-2019 годы, согласно приложению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22 сессии</w:t>
            </w:r>
            <w:r>
              <w:br/>
            </w:r>
            <w:r>
              <w:rPr>
                <w:rFonts w:ascii="Times New Roman"/>
                <w:b w:val="false"/>
                <w:i w:val="false"/>
                <w:color w:val="000000"/>
                <w:sz w:val="20"/>
              </w:rPr>
              <w:t xml:space="preserve"> Бухар-Жырауского</w:t>
            </w:r>
            <w:r>
              <w:br/>
            </w:r>
            <w:r>
              <w:rPr>
                <w:rFonts w:ascii="Times New Roman"/>
                <w:b w:val="false"/>
                <w:i w:val="false"/>
                <w:color w:val="000000"/>
                <w:sz w:val="20"/>
              </w:rPr>
              <w:t xml:space="preserve"> районного маслихата</w:t>
            </w:r>
            <w:r>
              <w:br/>
            </w:r>
            <w:r>
              <w:rPr>
                <w:rFonts w:ascii="Times New Roman"/>
                <w:b w:val="false"/>
                <w:i w:val="false"/>
                <w:color w:val="000000"/>
                <w:sz w:val="20"/>
              </w:rPr>
              <w:t>от 29 марта 2018 года № 10</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Бухар - Жыраускому району на 2018 - 2019 годы</w:t>
      </w:r>
    </w:p>
    <w:bookmarkEnd w:id="3"/>
    <w:bookmarkStart w:name="z11" w:id="4"/>
    <w:p>
      <w:pPr>
        <w:spacing w:after="0"/>
        <w:ind w:left="0"/>
        <w:jc w:val="left"/>
      </w:pPr>
      <w:r>
        <w:rPr>
          <w:rFonts w:ascii="Times New Roman"/>
          <w:b/>
          <w:i w:val="false"/>
          <w:color w:val="000000"/>
        </w:rPr>
        <w:t xml:space="preserve"> 1. Общие сведения</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содержит:</w:t>
      </w:r>
    </w:p>
    <w:bookmarkEnd w:id="6"/>
    <w:bookmarkStart w:name="z14" w:id="7"/>
    <w:p>
      <w:pPr>
        <w:spacing w:after="0"/>
        <w:ind w:left="0"/>
        <w:jc w:val="both"/>
      </w:pPr>
      <w:r>
        <w:rPr>
          <w:rFonts w:ascii="Times New Roman"/>
          <w:b w:val="false"/>
          <w:i w:val="false"/>
          <w:color w:val="000000"/>
          <w:sz w:val="28"/>
        </w:rPr>
        <w:t>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отгонах пастбищах физических и (или) юридических лиц, не обеспеченных пастбищами, расположенными при городе районного значения, поселке, селе, сельском округе согласно </w:t>
      </w:r>
      <w:r>
        <w:rPr>
          <w:rFonts w:ascii="Times New Roman"/>
          <w:b w:val="false"/>
          <w:i w:val="false"/>
          <w:color w:val="000000"/>
          <w:sz w:val="28"/>
        </w:rPr>
        <w:t>приложению 6</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календарный график по использованию пастбищ, устанавливающих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2" w:id="15"/>
    <w:p>
      <w:pPr>
        <w:spacing w:after="0"/>
        <w:ind w:left="0"/>
        <w:jc w:val="both"/>
      </w:pPr>
      <w:r>
        <w:rPr>
          <w:rFonts w:ascii="Times New Roman"/>
          <w:b w:val="false"/>
          <w:i w:val="false"/>
          <w:color w:val="000000"/>
          <w:sz w:val="28"/>
        </w:rPr>
        <w:t>
      Бухар-Жырауский район расположен в восточной части Карагандинской области. Район граничит с Осакаровским, Шетским, Абайским и Каркаралинским районами Карагандинской области, а также с Баянаульским районом Павлодарской области на севере.</w:t>
      </w:r>
    </w:p>
    <w:bookmarkEnd w:id="15"/>
    <w:bookmarkStart w:name="z23" w:id="16"/>
    <w:p>
      <w:pPr>
        <w:spacing w:after="0"/>
        <w:ind w:left="0"/>
        <w:jc w:val="both"/>
      </w:pPr>
      <w:r>
        <w:rPr>
          <w:rFonts w:ascii="Times New Roman"/>
          <w:b w:val="false"/>
          <w:i w:val="false"/>
          <w:color w:val="000000"/>
          <w:sz w:val="28"/>
        </w:rPr>
        <w:t xml:space="preserve">
      Территория Бухар-Жырауского района по категориям земель представлена в </w:t>
      </w:r>
      <w:r>
        <w:rPr>
          <w:rFonts w:ascii="Times New Roman"/>
          <w:b w:val="false"/>
          <w:i w:val="false"/>
          <w:color w:val="000000"/>
          <w:sz w:val="28"/>
        </w:rPr>
        <w:t>приложении 8</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Рельеф района представлен степной зоной, мелкосопочником, низкогорьем. Горы в районе расположены преимущественно в северной части. Район расположен в зоне умеренно-жарких, резко–засушливых степей. Климат резко-континентальный, отличается продолжительной зимой и коротким жарким летом, резкими сменами температуры дня и ночи, недостачным количеством атмосферных осадков, непродолжительностью сельскохозяйственного сезона.</w:t>
      </w:r>
    </w:p>
    <w:bookmarkEnd w:id="17"/>
    <w:bookmarkStart w:name="z25" w:id="18"/>
    <w:p>
      <w:pPr>
        <w:spacing w:after="0"/>
        <w:ind w:left="0"/>
        <w:jc w:val="both"/>
      </w:pPr>
      <w:r>
        <w:rPr>
          <w:rFonts w:ascii="Times New Roman"/>
          <w:b w:val="false"/>
          <w:i w:val="false"/>
          <w:color w:val="000000"/>
          <w:sz w:val="28"/>
        </w:rPr>
        <w:t>
      Среднегодовое количество осадков составляет 100-160 мм с большими колебаниями. Территория района находится в зоне рискованного земледелия.</w:t>
      </w:r>
    </w:p>
    <w:bookmarkEnd w:id="18"/>
    <w:bookmarkStart w:name="z26" w:id="19"/>
    <w:p>
      <w:pPr>
        <w:spacing w:after="0"/>
        <w:ind w:left="0"/>
        <w:jc w:val="both"/>
      </w:pPr>
      <w:r>
        <w:rPr>
          <w:rFonts w:ascii="Times New Roman"/>
          <w:b w:val="false"/>
          <w:i w:val="false"/>
          <w:color w:val="000000"/>
          <w:sz w:val="28"/>
        </w:rPr>
        <w:t>
      По почвенно-климатическим условиям подразделяется почвенно-климатические зоны, в которых преобладают почвы каштановые, светло-каштановые, бурые, серобурые.</w:t>
      </w:r>
    </w:p>
    <w:bookmarkEnd w:id="19"/>
    <w:bookmarkStart w:name="z27" w:id="20"/>
    <w:p>
      <w:pPr>
        <w:spacing w:after="0"/>
        <w:ind w:left="0"/>
        <w:jc w:val="both"/>
      </w:pPr>
      <w:r>
        <w:rPr>
          <w:rFonts w:ascii="Times New Roman"/>
          <w:b w:val="false"/>
          <w:i w:val="false"/>
          <w:color w:val="000000"/>
          <w:sz w:val="28"/>
        </w:rPr>
        <w:t xml:space="preserve">
      Входящие в состав района 29 сельских округов, представлены в </w:t>
      </w:r>
      <w:r>
        <w:rPr>
          <w:rFonts w:ascii="Times New Roman"/>
          <w:b w:val="false"/>
          <w:i w:val="false"/>
          <w:color w:val="000000"/>
          <w:sz w:val="28"/>
        </w:rPr>
        <w:t>приложении 9</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Численность населения Бухар-Жырауского района составляет 62154 человек, в разрезе сельских округов представлена в </w:t>
      </w:r>
      <w:r>
        <w:rPr>
          <w:rFonts w:ascii="Times New Roman"/>
          <w:b w:val="false"/>
          <w:i w:val="false"/>
          <w:color w:val="000000"/>
          <w:sz w:val="28"/>
        </w:rPr>
        <w:t>приложении 10</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Основное направление деятельности сельхозпредприятий — развитие животноводства и растениеводства, реализация продукции животноводства и растениеводства. По району зарегистрировано 1127 крестьянских хозяйств. Из них 657 крестьянских хозяйств занимаются животноводством, 470 хозяйств растениеводством, 207 крестьянских хозяйств участвуют в породном преобразовании стада.</w:t>
      </w:r>
    </w:p>
    <w:bookmarkEnd w:id="22"/>
    <w:bookmarkStart w:name="z30" w:id="23"/>
    <w:p>
      <w:pPr>
        <w:spacing w:after="0"/>
        <w:ind w:left="0"/>
        <w:jc w:val="left"/>
      </w:pPr>
      <w:r>
        <w:rPr>
          <w:rFonts w:ascii="Times New Roman"/>
          <w:b/>
          <w:i w:val="false"/>
          <w:color w:val="000000"/>
        </w:rPr>
        <w:t xml:space="preserve"> 2. Учет поголовья, расчет условных голов</w:t>
      </w:r>
    </w:p>
    <w:bookmarkEnd w:id="23"/>
    <w:bookmarkStart w:name="z31" w:id="24"/>
    <w:p>
      <w:pPr>
        <w:spacing w:after="0"/>
        <w:ind w:left="0"/>
        <w:jc w:val="both"/>
      </w:pPr>
      <w:r>
        <w:rPr>
          <w:rFonts w:ascii="Times New Roman"/>
          <w:b w:val="false"/>
          <w:i w:val="false"/>
          <w:color w:val="000000"/>
          <w:sz w:val="28"/>
        </w:rPr>
        <w:t>
      Для удобства проведения различных подсчетов, касающихся выпаса скота, применяется условная единица для сравнения или суммирования животных различных видов скота.</w:t>
      </w:r>
    </w:p>
    <w:bookmarkEnd w:id="24"/>
    <w:bookmarkStart w:name="z32" w:id="25"/>
    <w:p>
      <w:pPr>
        <w:spacing w:after="0"/>
        <w:ind w:left="0"/>
        <w:jc w:val="both"/>
      </w:pPr>
      <w:r>
        <w:rPr>
          <w:rFonts w:ascii="Times New Roman"/>
          <w:b w:val="false"/>
          <w:i w:val="false"/>
          <w:color w:val="000000"/>
          <w:sz w:val="28"/>
        </w:rPr>
        <w:t xml:space="preserve">
      Коэффициент пересчета в условные головы представлен в </w:t>
      </w:r>
      <w:r>
        <w:rPr>
          <w:rFonts w:ascii="Times New Roman"/>
          <w:b w:val="false"/>
          <w:i w:val="false"/>
          <w:color w:val="000000"/>
          <w:sz w:val="28"/>
        </w:rPr>
        <w:t>приложении 11</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Данные о численности поголовья сельскохозяйственных животных в разрезе сельских округов, владельцев крестьянских и личных подсобных хозяйств отражены в </w:t>
      </w:r>
      <w:r>
        <w:rPr>
          <w:rFonts w:ascii="Times New Roman"/>
          <w:b w:val="false"/>
          <w:i w:val="false"/>
          <w:color w:val="000000"/>
          <w:sz w:val="28"/>
        </w:rPr>
        <w:t>приложении 12</w:t>
      </w:r>
      <w:r>
        <w:rPr>
          <w:rFonts w:ascii="Times New Roman"/>
          <w:b w:val="false"/>
          <w:i w:val="false"/>
          <w:color w:val="000000"/>
          <w:sz w:val="28"/>
        </w:rPr>
        <w:t>.</w:t>
      </w:r>
    </w:p>
    <w:bookmarkEnd w:id="26"/>
    <w:bookmarkStart w:name="z34" w:id="27"/>
    <w:p>
      <w:pPr>
        <w:spacing w:after="0"/>
        <w:ind w:left="0"/>
        <w:jc w:val="left"/>
      </w:pPr>
      <w:r>
        <w:rPr>
          <w:rFonts w:ascii="Times New Roman"/>
          <w:b/>
          <w:i w:val="false"/>
          <w:color w:val="000000"/>
        </w:rPr>
        <w:t xml:space="preserve"> 3. Геоботаника</w:t>
      </w:r>
    </w:p>
    <w:bookmarkEnd w:id="27"/>
    <w:bookmarkStart w:name="z35" w:id="28"/>
    <w:p>
      <w:pPr>
        <w:spacing w:after="0"/>
        <w:ind w:left="0"/>
        <w:jc w:val="both"/>
      </w:pPr>
      <w:r>
        <w:rPr>
          <w:rFonts w:ascii="Times New Roman"/>
          <w:b w:val="false"/>
          <w:i w:val="false"/>
          <w:color w:val="000000"/>
          <w:sz w:val="28"/>
        </w:rPr>
        <w:t>
      В Бухар-Жырауском районе определено более 180 видов растений, которые принадлежат к 40 семействам. Наиболее распространены растения из семейства злаковых, сложноцветных, крестоцветных. Кормовые угодья Бухар-Жырауского района расположены в зоне каштановых и светло-каштановых почв, формирование которых обусловлено спецификой природных условий: континентальный сухой климат, изреженный растительный покров с преобладанием узколистной злаковой растительности, территория района находится в зоне полупустынных степей с преобладанием разнотравно-ковыльных - типчаковых группировок. В пойме рек встречаются лугово - злаковые, пырейные, костровые, лисохвостные, злаково-осоковые, тростниково-осоковые травы.</w:t>
      </w:r>
    </w:p>
    <w:bookmarkEnd w:id="28"/>
    <w:bookmarkStart w:name="z36" w:id="29"/>
    <w:p>
      <w:pPr>
        <w:spacing w:after="0"/>
        <w:ind w:left="0"/>
        <w:jc w:val="both"/>
      </w:pPr>
      <w:r>
        <w:rPr>
          <w:rFonts w:ascii="Times New Roman"/>
          <w:b w:val="false"/>
          <w:i w:val="false"/>
          <w:color w:val="000000"/>
          <w:sz w:val="28"/>
        </w:rPr>
        <w:t xml:space="preserve">
      Растения встречающиеся на пастбищах в хозяйственном отношении обычно разделяют на четыре группы – злаковые, бобовые, осоковые и разнотравье. </w:t>
      </w:r>
    </w:p>
    <w:bookmarkEnd w:id="29"/>
    <w:bookmarkStart w:name="z37" w:id="30"/>
    <w:p>
      <w:pPr>
        <w:spacing w:after="0"/>
        <w:ind w:left="0"/>
        <w:jc w:val="both"/>
      </w:pPr>
      <w:r>
        <w:rPr>
          <w:rFonts w:ascii="Times New Roman"/>
          <w:b w:val="false"/>
          <w:i w:val="false"/>
          <w:color w:val="000000"/>
          <w:sz w:val="28"/>
        </w:rPr>
        <w:t>
      В связи с тем, что на территории Бухар-Жырауского района наблюдается разнообразие природных условий, кроме степной растительности большое распространение получили группировки луговой растительности в поймах рек Нура, Шийлы, Кульса, Сокыр. Естественный растительный покров пастбищ на каштановых и светло-каштановых почвах представлен тырсиково-типчаково - полынными ассоциациями. Из злаков наибольшее распространение получили –типчак, тонконог стройный. Разнотравье немногочисленно и представлено следующими видами: подмаренники настоящие, девясил британский, донник клубненосный, шалфей молочный, из бобовых клевер, вика, люцерна, донник, горошек мыщицы, из осока-осока заячья, осока ранняя.Семейство злаковых является одним из самых распространенных на территории землепользования.</w:t>
      </w:r>
    </w:p>
    <w:bookmarkEnd w:id="30"/>
    <w:bookmarkStart w:name="z38" w:id="31"/>
    <w:p>
      <w:pPr>
        <w:spacing w:after="0"/>
        <w:ind w:left="0"/>
        <w:jc w:val="both"/>
      </w:pPr>
      <w:r>
        <w:rPr>
          <w:rFonts w:ascii="Times New Roman"/>
          <w:b w:val="false"/>
          <w:i w:val="false"/>
          <w:color w:val="000000"/>
          <w:sz w:val="28"/>
        </w:rPr>
        <w:t>
      Пастбища подвержены бессистемному выпасу и довольно часто под влиянием усиленного выпаса выше описанный растительный покров кормовых угодий видоизменяется. Ценные степные злаки постепенно выпадают из травостоя, как наименее приспособленные к выпасу, в растительном покрове разрастается сорное разнотравье и полыни. Из злаков наиболее устойчив к выпасу типчак: он хорошо отрастает после вытаптывания скотом. Под влиянием нерационального выпаса продуктивность пастбищ падает. Укорачивается сезон использования. Чтобы сохранить качественный состав травостоя на пастбищах, состоящих из разнообразных видов злаков, кормовые угодья надо использовать с умеренной нагрузкой скота в системе пастбище оборотов. На таких пастбищах необходимо упорядочить выпас, ввести загонную систему.</w:t>
      </w:r>
    </w:p>
    <w:bookmarkEnd w:id="31"/>
    <w:bookmarkStart w:name="z39" w:id="32"/>
    <w:p>
      <w:pPr>
        <w:spacing w:after="0"/>
        <w:ind w:left="0"/>
        <w:jc w:val="both"/>
      </w:pPr>
      <w:r>
        <w:rPr>
          <w:rFonts w:ascii="Times New Roman"/>
          <w:b w:val="false"/>
          <w:i w:val="false"/>
          <w:color w:val="000000"/>
          <w:sz w:val="28"/>
        </w:rPr>
        <w:t>
      Содержание разнотравья в урожаях сена и пастбищного корма достигает иногда 60-80%. Многие виды растений из этой группы имеют важное кормовое значение. Все растительные виды по своему хозяйственному значению и использованию можно разделить на группы:</w:t>
      </w:r>
    </w:p>
    <w:bookmarkEnd w:id="32"/>
    <w:bookmarkStart w:name="z40" w:id="33"/>
    <w:p>
      <w:pPr>
        <w:spacing w:after="0"/>
        <w:ind w:left="0"/>
        <w:jc w:val="both"/>
      </w:pPr>
      <w:r>
        <w:rPr>
          <w:rFonts w:ascii="Times New Roman"/>
          <w:b w:val="false"/>
          <w:i w:val="false"/>
          <w:color w:val="000000"/>
          <w:sz w:val="28"/>
        </w:rPr>
        <w:t>
       злаки мягко стебельные – ковыли, типчак, пырей, костер и другие;</w:t>
      </w:r>
    </w:p>
    <w:bookmarkEnd w:id="33"/>
    <w:bookmarkStart w:name="z41" w:id="34"/>
    <w:p>
      <w:pPr>
        <w:spacing w:after="0"/>
        <w:ind w:left="0"/>
        <w:jc w:val="both"/>
      </w:pPr>
      <w:r>
        <w:rPr>
          <w:rFonts w:ascii="Times New Roman"/>
          <w:b w:val="false"/>
          <w:i w:val="false"/>
          <w:color w:val="000000"/>
          <w:sz w:val="28"/>
        </w:rPr>
        <w:t>
       полыни плохо поедаемые и недоедаемые – полынь эстрагон, полынь горькая, полынь высокая, полынь сизая;</w:t>
      </w:r>
    </w:p>
    <w:bookmarkEnd w:id="34"/>
    <w:bookmarkStart w:name="z42" w:id="35"/>
    <w:p>
      <w:pPr>
        <w:spacing w:after="0"/>
        <w:ind w:left="0"/>
        <w:jc w:val="both"/>
      </w:pPr>
      <w:r>
        <w:rPr>
          <w:rFonts w:ascii="Times New Roman"/>
          <w:b w:val="false"/>
          <w:i w:val="false"/>
          <w:color w:val="000000"/>
          <w:sz w:val="28"/>
        </w:rPr>
        <w:t>
       разнотравье растения – бобовые, подорожник солончаковый, кровохлебка лекарственная;</w:t>
      </w:r>
    </w:p>
    <w:bookmarkEnd w:id="35"/>
    <w:bookmarkStart w:name="z43" w:id="36"/>
    <w:p>
      <w:pPr>
        <w:spacing w:after="0"/>
        <w:ind w:left="0"/>
        <w:jc w:val="both"/>
      </w:pPr>
      <w:r>
        <w:rPr>
          <w:rFonts w:ascii="Times New Roman"/>
          <w:b w:val="false"/>
          <w:i w:val="false"/>
          <w:color w:val="000000"/>
          <w:sz w:val="28"/>
        </w:rPr>
        <w:t>
      ядовитие растения – пижма,ярутка, сурепица,клоповник мусорный, болиголов.</w:t>
      </w:r>
    </w:p>
    <w:bookmarkEnd w:id="36"/>
    <w:bookmarkStart w:name="z44" w:id="37"/>
    <w:p>
      <w:pPr>
        <w:spacing w:after="0"/>
        <w:ind w:left="0"/>
        <w:jc w:val="both"/>
      </w:pPr>
      <w:r>
        <w:rPr>
          <w:rFonts w:ascii="Times New Roman"/>
          <w:b w:val="false"/>
          <w:i w:val="false"/>
          <w:color w:val="000000"/>
          <w:sz w:val="28"/>
        </w:rPr>
        <w:t>
      В результате геоботанического обследования выявлено, что пастбищные угодья используются нерационально, отдельные пастбища стравливаются на стадии сбоя. Пастбища расположенные вблизи населенных пунктов, вокруг водопоев скота, приведены в полную негодность и под выпас не могут быть использованы. При эксплуатации пастбищ допускается выпас скота по не просохшей почве, в результате чего происходит образование кочек. Травостой многих пастбищ в результате бессистемного чрезмерного выпаса заосрен плохо поедаемыми грубостебельноми видами полыней и разнотравтья, в результате чего кормовая ценность их резко снизилась, урожайность сухой поедаемой массы растений на пастбищах с единицы площади падает. Укорачивается сезон использования патбищ. Наиболее оптимальным сроком использования естественных пастбищ в Бухар-Жырауском районе в степной зоне является весенне- летний- осенний период.</w:t>
      </w:r>
    </w:p>
    <w:bookmarkEnd w:id="37"/>
    <w:bookmarkStart w:name="z45" w:id="38"/>
    <w:p>
      <w:pPr>
        <w:spacing w:after="0"/>
        <w:ind w:left="0"/>
        <w:jc w:val="both"/>
      </w:pPr>
      <w:r>
        <w:rPr>
          <w:rFonts w:ascii="Times New Roman"/>
          <w:b w:val="false"/>
          <w:i w:val="false"/>
          <w:color w:val="000000"/>
          <w:sz w:val="28"/>
        </w:rPr>
        <w:t>
      Рациональное использование пастбищ и сенокосов имеет большое значение – при правильном использовании пастбщиных угодий продуктивность их сильно возрастает.</w:t>
      </w:r>
    </w:p>
    <w:bookmarkEnd w:id="38"/>
    <w:bookmarkStart w:name="z46" w:id="39"/>
    <w:p>
      <w:pPr>
        <w:spacing w:after="0"/>
        <w:ind w:left="0"/>
        <w:jc w:val="left"/>
      </w:pPr>
      <w:r>
        <w:rPr>
          <w:rFonts w:ascii="Times New Roman"/>
          <w:b/>
          <w:i w:val="false"/>
          <w:color w:val="000000"/>
        </w:rPr>
        <w:t xml:space="preserve"> 4. Кормопроизводство</w:t>
      </w:r>
    </w:p>
    <w:bookmarkEnd w:id="39"/>
    <w:bookmarkStart w:name="z47" w:id="40"/>
    <w:p>
      <w:pPr>
        <w:spacing w:after="0"/>
        <w:ind w:left="0"/>
        <w:jc w:val="both"/>
      </w:pPr>
      <w:r>
        <w:rPr>
          <w:rFonts w:ascii="Times New Roman"/>
          <w:b w:val="false"/>
          <w:i w:val="false"/>
          <w:color w:val="000000"/>
          <w:sz w:val="28"/>
        </w:rPr>
        <w:t>
      На территории Бухар-Жырауского района основными составляющими рациона животных служат пастбищные корма, сено естественных лугов и сеянных сенокосов. На одну условную голову поголовья скота по району приходится около 13 га пастбищ, что при средней урожайности зеленой массы 5-6 ц/га., которые обеспечивают потребность животных в пастбищном корме.</w:t>
      </w:r>
    </w:p>
    <w:bookmarkEnd w:id="40"/>
    <w:bookmarkStart w:name="z48" w:id="41"/>
    <w:p>
      <w:pPr>
        <w:spacing w:after="0"/>
        <w:ind w:left="0"/>
        <w:jc w:val="both"/>
      </w:pPr>
      <w:r>
        <w:rPr>
          <w:rFonts w:ascii="Times New Roman"/>
          <w:b w:val="false"/>
          <w:i w:val="false"/>
          <w:color w:val="000000"/>
          <w:sz w:val="28"/>
        </w:rPr>
        <w:t xml:space="preserve">
      Данные о средней урожайности кормовых культур на территории Бухар -Жырауского района отражены в </w:t>
      </w:r>
      <w:r>
        <w:rPr>
          <w:rFonts w:ascii="Times New Roman"/>
          <w:b w:val="false"/>
          <w:i w:val="false"/>
          <w:color w:val="000000"/>
          <w:sz w:val="28"/>
        </w:rPr>
        <w:t>приложении 13</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Основные проблемы отрасли кормопроизводства:</w:t>
      </w:r>
    </w:p>
    <w:bookmarkEnd w:id="42"/>
    <w:bookmarkStart w:name="z50" w:id="43"/>
    <w:p>
      <w:pPr>
        <w:spacing w:after="0"/>
        <w:ind w:left="0"/>
        <w:jc w:val="both"/>
      </w:pPr>
      <w:r>
        <w:rPr>
          <w:rFonts w:ascii="Times New Roman"/>
          <w:b w:val="false"/>
          <w:i w:val="false"/>
          <w:color w:val="000000"/>
          <w:sz w:val="28"/>
        </w:rPr>
        <w:t>
      недостаточные объемы посевных площадей под кормовыми культурами;</w:t>
      </w:r>
    </w:p>
    <w:bookmarkEnd w:id="43"/>
    <w:bookmarkStart w:name="z51" w:id="44"/>
    <w:p>
      <w:pPr>
        <w:spacing w:after="0"/>
        <w:ind w:left="0"/>
        <w:jc w:val="both"/>
      </w:pPr>
      <w:r>
        <w:rPr>
          <w:rFonts w:ascii="Times New Roman"/>
          <w:b w:val="false"/>
          <w:i w:val="false"/>
          <w:color w:val="000000"/>
          <w:sz w:val="28"/>
        </w:rPr>
        <w:t>
      низкая урожайность кормовых культур;</w:t>
      </w:r>
    </w:p>
    <w:bookmarkEnd w:id="44"/>
    <w:bookmarkStart w:name="z52" w:id="45"/>
    <w:p>
      <w:pPr>
        <w:spacing w:after="0"/>
        <w:ind w:left="0"/>
        <w:jc w:val="both"/>
      </w:pPr>
      <w:r>
        <w:rPr>
          <w:rFonts w:ascii="Times New Roman"/>
          <w:b w:val="false"/>
          <w:i w:val="false"/>
          <w:color w:val="000000"/>
          <w:sz w:val="28"/>
        </w:rPr>
        <w:t>
      низкий уровень обеспеченности современной кормоуборочной и</w:t>
      </w:r>
    </w:p>
    <w:bookmarkEnd w:id="45"/>
    <w:bookmarkStart w:name="z53" w:id="46"/>
    <w:p>
      <w:pPr>
        <w:spacing w:after="0"/>
        <w:ind w:left="0"/>
        <w:jc w:val="both"/>
      </w:pPr>
      <w:r>
        <w:rPr>
          <w:rFonts w:ascii="Times New Roman"/>
          <w:b w:val="false"/>
          <w:i w:val="false"/>
          <w:color w:val="000000"/>
          <w:sz w:val="28"/>
        </w:rPr>
        <w:t xml:space="preserve">
      кормоприготовительной техники; </w:t>
      </w:r>
    </w:p>
    <w:bookmarkEnd w:id="46"/>
    <w:bookmarkStart w:name="z54" w:id="47"/>
    <w:p>
      <w:pPr>
        <w:spacing w:after="0"/>
        <w:ind w:left="0"/>
        <w:jc w:val="both"/>
      </w:pPr>
      <w:r>
        <w:rPr>
          <w:rFonts w:ascii="Times New Roman"/>
          <w:b w:val="false"/>
          <w:i w:val="false"/>
          <w:color w:val="000000"/>
          <w:sz w:val="28"/>
        </w:rPr>
        <w:t xml:space="preserve">
      низкий уровень использования пастбищ и сенокосов; </w:t>
      </w:r>
    </w:p>
    <w:bookmarkEnd w:id="47"/>
    <w:bookmarkStart w:name="z55" w:id="48"/>
    <w:p>
      <w:pPr>
        <w:spacing w:after="0"/>
        <w:ind w:left="0"/>
        <w:jc w:val="both"/>
      </w:pPr>
      <w:r>
        <w:rPr>
          <w:rFonts w:ascii="Times New Roman"/>
          <w:b w:val="false"/>
          <w:i w:val="false"/>
          <w:color w:val="000000"/>
          <w:sz w:val="28"/>
        </w:rPr>
        <w:t>
      отсутствие у землепользователей специальной программы развития кормопроизводства;</w:t>
      </w:r>
    </w:p>
    <w:bookmarkEnd w:id="48"/>
    <w:bookmarkStart w:name="z56" w:id="49"/>
    <w:p>
      <w:pPr>
        <w:spacing w:after="0"/>
        <w:ind w:left="0"/>
        <w:jc w:val="left"/>
      </w:pPr>
      <w:r>
        <w:rPr>
          <w:rFonts w:ascii="Times New Roman"/>
          <w:b/>
          <w:i w:val="false"/>
          <w:color w:val="000000"/>
        </w:rPr>
        <w:t xml:space="preserve"> 5. Пастбищеоборот</w:t>
      </w:r>
    </w:p>
    <w:bookmarkEnd w:id="49"/>
    <w:bookmarkStart w:name="z57" w:id="50"/>
    <w:p>
      <w:pPr>
        <w:spacing w:after="0"/>
        <w:ind w:left="0"/>
        <w:jc w:val="both"/>
      </w:pPr>
      <w:r>
        <w:rPr>
          <w:rFonts w:ascii="Times New Roman"/>
          <w:b w:val="false"/>
          <w:i w:val="false"/>
          <w:color w:val="000000"/>
          <w:sz w:val="28"/>
        </w:rPr>
        <w:t>
      В целях повышения продуктивности пастбищ и улучшения состава травостоя организуют пастбищеобороты. В повышении продуктивности пастбищ немаловажное значение имеет правильная организация их территории, состоящая в размещении гуртовых и отарных участков, загонов очередного стравливания, водных сооружений и скотопрогонов.</w:t>
      </w:r>
    </w:p>
    <w:bookmarkEnd w:id="50"/>
    <w:bookmarkStart w:name="z58" w:id="51"/>
    <w:p>
      <w:pPr>
        <w:spacing w:after="0"/>
        <w:ind w:left="0"/>
        <w:jc w:val="both"/>
      </w:pPr>
      <w:r>
        <w:rPr>
          <w:rFonts w:ascii="Times New Roman"/>
          <w:b w:val="false"/>
          <w:i w:val="false"/>
          <w:color w:val="000000"/>
          <w:sz w:val="28"/>
        </w:rPr>
        <w:t xml:space="preserve">
      На естественных пастбищах предусматривается организация четырехпольного пастбищеоборота со следующими сроками стравливания, представленными в </w:t>
      </w:r>
      <w:r>
        <w:rPr>
          <w:rFonts w:ascii="Times New Roman"/>
          <w:b w:val="false"/>
          <w:i w:val="false"/>
          <w:color w:val="000000"/>
          <w:sz w:val="28"/>
        </w:rPr>
        <w:t>приложении 14</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Определение продуктивности пастбищ:</w:t>
      </w:r>
    </w:p>
    <w:bookmarkEnd w:id="52"/>
    <w:bookmarkStart w:name="z60" w:id="53"/>
    <w:p>
      <w:pPr>
        <w:spacing w:after="0"/>
        <w:ind w:left="0"/>
        <w:jc w:val="both"/>
      </w:pPr>
      <w:r>
        <w:rPr>
          <w:rFonts w:ascii="Times New Roman"/>
          <w:b w:val="false"/>
          <w:i w:val="false"/>
          <w:color w:val="000000"/>
          <w:sz w:val="28"/>
        </w:rPr>
        <w:t>
      площадь пастбища - 533 474 га;</w:t>
      </w:r>
    </w:p>
    <w:bookmarkEnd w:id="53"/>
    <w:bookmarkStart w:name="z61" w:id="54"/>
    <w:p>
      <w:pPr>
        <w:spacing w:after="0"/>
        <w:ind w:left="0"/>
        <w:jc w:val="both"/>
      </w:pPr>
      <w:r>
        <w:rPr>
          <w:rFonts w:ascii="Times New Roman"/>
          <w:b w:val="false"/>
          <w:i w:val="false"/>
          <w:color w:val="000000"/>
          <w:sz w:val="28"/>
        </w:rPr>
        <w:t>
      срок использования начало - 5 мая, конец – 1 октября, лошадьми 70 %</w:t>
      </w:r>
    </w:p>
    <w:bookmarkEnd w:id="54"/>
    <w:bookmarkStart w:name="z62" w:id="55"/>
    <w:p>
      <w:pPr>
        <w:spacing w:after="0"/>
        <w:ind w:left="0"/>
        <w:jc w:val="both"/>
      </w:pPr>
      <w:r>
        <w:rPr>
          <w:rFonts w:ascii="Times New Roman"/>
          <w:b w:val="false"/>
          <w:i w:val="false"/>
          <w:color w:val="000000"/>
          <w:sz w:val="28"/>
        </w:rPr>
        <w:t>
      круглогодично;</w:t>
      </w:r>
    </w:p>
    <w:bookmarkEnd w:id="55"/>
    <w:bookmarkStart w:name="z63" w:id="56"/>
    <w:p>
      <w:pPr>
        <w:spacing w:after="0"/>
        <w:ind w:left="0"/>
        <w:jc w:val="both"/>
      </w:pPr>
      <w:r>
        <w:rPr>
          <w:rFonts w:ascii="Times New Roman"/>
          <w:b w:val="false"/>
          <w:i w:val="false"/>
          <w:color w:val="000000"/>
          <w:sz w:val="28"/>
        </w:rPr>
        <w:t>
      количество дней выпаса – 180 дней;</w:t>
      </w:r>
    </w:p>
    <w:bookmarkEnd w:id="56"/>
    <w:bookmarkStart w:name="z64" w:id="57"/>
    <w:p>
      <w:pPr>
        <w:spacing w:after="0"/>
        <w:ind w:left="0"/>
        <w:jc w:val="both"/>
      </w:pPr>
      <w:r>
        <w:rPr>
          <w:rFonts w:ascii="Times New Roman"/>
          <w:b w:val="false"/>
          <w:i w:val="false"/>
          <w:color w:val="000000"/>
          <w:sz w:val="28"/>
        </w:rPr>
        <w:t>
      состав стада: крупный рогатый скот, мелкий рогатый скот, лошади;</w:t>
      </w:r>
    </w:p>
    <w:bookmarkEnd w:id="57"/>
    <w:bookmarkStart w:name="z65" w:id="58"/>
    <w:p>
      <w:pPr>
        <w:spacing w:after="0"/>
        <w:ind w:left="0"/>
        <w:jc w:val="both"/>
      </w:pPr>
      <w:r>
        <w:rPr>
          <w:rFonts w:ascii="Times New Roman"/>
          <w:b w:val="false"/>
          <w:i w:val="false"/>
          <w:color w:val="000000"/>
          <w:sz w:val="28"/>
        </w:rPr>
        <w:t>
      количество животных в стаде, условных голов – 96 620 голов;</w:t>
      </w:r>
    </w:p>
    <w:bookmarkEnd w:id="58"/>
    <w:bookmarkStart w:name="z66" w:id="59"/>
    <w:p>
      <w:pPr>
        <w:spacing w:after="0"/>
        <w:ind w:left="0"/>
        <w:jc w:val="both"/>
      </w:pPr>
      <w:r>
        <w:rPr>
          <w:rFonts w:ascii="Times New Roman"/>
          <w:b w:val="false"/>
          <w:i w:val="false"/>
          <w:color w:val="000000"/>
          <w:sz w:val="28"/>
        </w:rPr>
        <w:t>
      средняя живая масса одной головы, кг:</w:t>
      </w:r>
    </w:p>
    <w:bookmarkEnd w:id="59"/>
    <w:bookmarkStart w:name="z67" w:id="60"/>
    <w:p>
      <w:pPr>
        <w:spacing w:after="0"/>
        <w:ind w:left="0"/>
        <w:jc w:val="both"/>
      </w:pPr>
      <w:r>
        <w:rPr>
          <w:rFonts w:ascii="Times New Roman"/>
          <w:b w:val="false"/>
          <w:i w:val="false"/>
          <w:color w:val="000000"/>
          <w:sz w:val="28"/>
        </w:rPr>
        <w:t>
      до учетного периода – 330 кг;</w:t>
      </w:r>
    </w:p>
    <w:bookmarkEnd w:id="60"/>
    <w:bookmarkStart w:name="z68" w:id="61"/>
    <w:p>
      <w:pPr>
        <w:spacing w:after="0"/>
        <w:ind w:left="0"/>
        <w:jc w:val="both"/>
      </w:pPr>
      <w:r>
        <w:rPr>
          <w:rFonts w:ascii="Times New Roman"/>
          <w:b w:val="false"/>
          <w:i w:val="false"/>
          <w:color w:val="000000"/>
          <w:sz w:val="28"/>
        </w:rPr>
        <w:t>
      после учетного периода – 420 кг;</w:t>
      </w:r>
    </w:p>
    <w:bookmarkEnd w:id="61"/>
    <w:bookmarkStart w:name="z69" w:id="62"/>
    <w:p>
      <w:pPr>
        <w:spacing w:after="0"/>
        <w:ind w:left="0"/>
        <w:jc w:val="both"/>
      </w:pPr>
      <w:r>
        <w:rPr>
          <w:rFonts w:ascii="Times New Roman"/>
          <w:b w:val="false"/>
          <w:i w:val="false"/>
          <w:color w:val="000000"/>
          <w:sz w:val="28"/>
        </w:rPr>
        <w:t>
      средний привес одной головы - 90 кг;</w:t>
      </w:r>
    </w:p>
    <w:bookmarkEnd w:id="62"/>
    <w:bookmarkStart w:name="z70" w:id="63"/>
    <w:p>
      <w:pPr>
        <w:spacing w:after="0"/>
        <w:ind w:left="0"/>
        <w:jc w:val="both"/>
      </w:pPr>
      <w:r>
        <w:rPr>
          <w:rFonts w:ascii="Times New Roman"/>
          <w:b w:val="false"/>
          <w:i w:val="false"/>
          <w:color w:val="000000"/>
          <w:sz w:val="28"/>
        </w:rPr>
        <w:t>
      привес на все стадо за весь период – 8 695 800 тонн.</w:t>
      </w:r>
    </w:p>
    <w:bookmarkEnd w:id="63"/>
    <w:bookmarkStart w:name="z71" w:id="64"/>
    <w:p>
      <w:pPr>
        <w:spacing w:after="0"/>
        <w:ind w:left="0"/>
        <w:jc w:val="both"/>
      </w:pPr>
      <w:r>
        <w:rPr>
          <w:rFonts w:ascii="Times New Roman"/>
          <w:b w:val="false"/>
          <w:i w:val="false"/>
          <w:color w:val="000000"/>
          <w:sz w:val="28"/>
        </w:rPr>
        <w:t xml:space="preserve">
      Данные о количестве гуртов, отар, табунов, сформированных по видам сельскохозяйственных животных в разрезе сельских округов отображены в </w:t>
      </w:r>
      <w:r>
        <w:rPr>
          <w:rFonts w:ascii="Times New Roman"/>
          <w:b w:val="false"/>
          <w:i w:val="false"/>
          <w:color w:val="000000"/>
          <w:sz w:val="28"/>
        </w:rPr>
        <w:t>приложении 15</w:t>
      </w:r>
      <w:r>
        <w:rPr>
          <w:rFonts w:ascii="Times New Roman"/>
          <w:b w:val="false"/>
          <w:i w:val="false"/>
          <w:color w:val="000000"/>
          <w:sz w:val="28"/>
        </w:rPr>
        <w:t>.</w:t>
      </w:r>
    </w:p>
    <w:bookmarkEnd w:id="64"/>
    <w:bookmarkStart w:name="z72" w:id="65"/>
    <w:p>
      <w:pPr>
        <w:spacing w:after="0"/>
        <w:ind w:left="0"/>
        <w:jc w:val="left"/>
      </w:pPr>
      <w:r>
        <w:rPr>
          <w:rFonts w:ascii="Times New Roman"/>
          <w:b/>
          <w:i w:val="false"/>
          <w:color w:val="000000"/>
        </w:rPr>
        <w:t xml:space="preserve"> 6. Водопой, график водопоя</w:t>
      </w:r>
    </w:p>
    <w:bookmarkEnd w:id="65"/>
    <w:bookmarkStart w:name="z73" w:id="66"/>
    <w:p>
      <w:pPr>
        <w:spacing w:after="0"/>
        <w:ind w:left="0"/>
        <w:jc w:val="both"/>
      </w:pPr>
      <w:r>
        <w:rPr>
          <w:rFonts w:ascii="Times New Roman"/>
          <w:b w:val="false"/>
          <w:i w:val="false"/>
          <w:color w:val="000000"/>
          <w:sz w:val="28"/>
        </w:rPr>
        <w:t xml:space="preserve">
      Водопойные пункты размещают с учетом видов и групп выпасного поголовья животных, сезонности их использования участков, рельефа местности. При размещении водо источников необходимо учитывать удобные подходы к водопою и соблюдать санитарно-профилактические правила. В этих целях нельзя допускать размещение вод источников на заболоченных, затапливаемых и загрязненных участках, а также проектировать к обслуживанию из одного водопойного пункта не более 250 голов крупного рогатого скота или 2000 овец. Лучше всего, если животные имеют свободный доступ к воде и пьют в любое время. Лучшими источниками пастбищного водоснабжения являются реки, озера и пруды с проточной водой. </w:t>
      </w:r>
    </w:p>
    <w:bookmarkEnd w:id="66"/>
    <w:bookmarkStart w:name="z74" w:id="67"/>
    <w:p>
      <w:pPr>
        <w:spacing w:after="0"/>
        <w:ind w:left="0"/>
        <w:jc w:val="both"/>
      </w:pPr>
      <w:r>
        <w:rPr>
          <w:rFonts w:ascii="Times New Roman"/>
          <w:b w:val="false"/>
          <w:i w:val="false"/>
          <w:color w:val="000000"/>
          <w:sz w:val="28"/>
        </w:rPr>
        <w:t>
      Приказом министра сельского хозяйства Республики Казахстан от 24 апреля 2017 года №173 "Об утверждении Правил рационального использования пастбищ" (зарегистрировано в Реестре государственной регистрации нормативных правовых актов за № 15090) утверждена среднесуточная норма потребления воды по видам сельскохозяйственных животных:</w:t>
      </w:r>
    </w:p>
    <w:bookmarkEnd w:id="67"/>
    <w:bookmarkStart w:name="z75" w:id="68"/>
    <w:p>
      <w:pPr>
        <w:spacing w:after="0"/>
        <w:ind w:left="0"/>
        <w:jc w:val="both"/>
      </w:pPr>
      <w:r>
        <w:rPr>
          <w:rFonts w:ascii="Times New Roman"/>
          <w:b w:val="false"/>
          <w:i w:val="false"/>
          <w:color w:val="000000"/>
          <w:sz w:val="28"/>
        </w:rPr>
        <w:t>
      для крупного рогатого скота и лошадей 45-60 литров;</w:t>
      </w:r>
    </w:p>
    <w:bookmarkEnd w:id="68"/>
    <w:bookmarkStart w:name="z76" w:id="69"/>
    <w:p>
      <w:pPr>
        <w:spacing w:after="0"/>
        <w:ind w:left="0"/>
        <w:jc w:val="both"/>
      </w:pPr>
      <w:r>
        <w:rPr>
          <w:rFonts w:ascii="Times New Roman"/>
          <w:b w:val="false"/>
          <w:i w:val="false"/>
          <w:color w:val="000000"/>
          <w:sz w:val="28"/>
        </w:rPr>
        <w:t>
      для молодняка в возрасте 1-2 года 25-35 литров;</w:t>
      </w:r>
    </w:p>
    <w:bookmarkEnd w:id="69"/>
    <w:bookmarkStart w:name="z77" w:id="70"/>
    <w:p>
      <w:pPr>
        <w:spacing w:after="0"/>
        <w:ind w:left="0"/>
        <w:jc w:val="both"/>
      </w:pPr>
      <w:r>
        <w:rPr>
          <w:rFonts w:ascii="Times New Roman"/>
          <w:b w:val="false"/>
          <w:i w:val="false"/>
          <w:color w:val="000000"/>
          <w:sz w:val="28"/>
        </w:rPr>
        <w:t>
      для молодняка младше одного года 10-15 литров;</w:t>
      </w:r>
    </w:p>
    <w:bookmarkEnd w:id="70"/>
    <w:bookmarkStart w:name="z78" w:id="71"/>
    <w:p>
      <w:pPr>
        <w:spacing w:after="0"/>
        <w:ind w:left="0"/>
        <w:jc w:val="both"/>
      </w:pPr>
      <w:r>
        <w:rPr>
          <w:rFonts w:ascii="Times New Roman"/>
          <w:b w:val="false"/>
          <w:i w:val="false"/>
          <w:color w:val="000000"/>
          <w:sz w:val="28"/>
        </w:rPr>
        <w:t>
      для овец и коз 3-5 литров;</w:t>
      </w:r>
    </w:p>
    <w:bookmarkEnd w:id="71"/>
    <w:bookmarkStart w:name="z79" w:id="72"/>
    <w:p>
      <w:pPr>
        <w:spacing w:after="0"/>
        <w:ind w:left="0"/>
        <w:jc w:val="both"/>
      </w:pPr>
      <w:r>
        <w:rPr>
          <w:rFonts w:ascii="Times New Roman"/>
          <w:b w:val="false"/>
          <w:i w:val="false"/>
          <w:color w:val="000000"/>
          <w:sz w:val="28"/>
        </w:rPr>
        <w:t>
      для ягнят 1-2 литра.</w:t>
      </w:r>
    </w:p>
    <w:bookmarkEnd w:id="72"/>
    <w:bookmarkStart w:name="z80" w:id="73"/>
    <w:p>
      <w:pPr>
        <w:spacing w:after="0"/>
        <w:ind w:left="0"/>
        <w:jc w:val="both"/>
      </w:pPr>
      <w:r>
        <w:rPr>
          <w:rFonts w:ascii="Times New Roman"/>
          <w:b w:val="false"/>
          <w:i w:val="false"/>
          <w:color w:val="000000"/>
          <w:sz w:val="28"/>
        </w:rPr>
        <w:t>
      Допустимое расстояние от пастбища до водопоя для коров – 1,5 км, для телят 1 км, для молодняка крупного рогатого скота – 2,5 км, для овец и коз – 3 км, для лошадей и верблюдов до 4,6 км.</w:t>
      </w:r>
    </w:p>
    <w:bookmarkEnd w:id="73"/>
    <w:bookmarkStart w:name="z81" w:id="74"/>
    <w:p>
      <w:pPr>
        <w:spacing w:after="0"/>
        <w:ind w:left="0"/>
        <w:jc w:val="both"/>
      </w:pPr>
      <w:r>
        <w:rPr>
          <w:rFonts w:ascii="Times New Roman"/>
          <w:b w:val="false"/>
          <w:i w:val="false"/>
          <w:color w:val="000000"/>
          <w:sz w:val="28"/>
        </w:rPr>
        <w:t>
      Пастбищные земли Бухар-Жырауского района полностью обеспечены водой.</w:t>
      </w:r>
    </w:p>
    <w:bookmarkEnd w:id="74"/>
    <w:bookmarkStart w:name="z82" w:id="75"/>
    <w:p>
      <w:pPr>
        <w:spacing w:after="0"/>
        <w:ind w:left="0"/>
        <w:jc w:val="both"/>
      </w:pPr>
      <w:r>
        <w:rPr>
          <w:rFonts w:ascii="Times New Roman"/>
          <w:b w:val="false"/>
          <w:i w:val="false"/>
          <w:color w:val="000000"/>
          <w:sz w:val="28"/>
        </w:rPr>
        <w:t>
      Устройство прогонов. Прогоны должны быть достаточной ширины, чтобы скот не теснился и не скучивался. Ширина прогонов на 100 голов для крупного рогатого скота 20-25 м, молодняка до одного года 10-15 м, табуна лошадей 15-20 м, для отары овец голов 30-35 м.</w:t>
      </w:r>
    </w:p>
    <w:bookmarkEnd w:id="75"/>
    <w:bookmarkStart w:name="z83" w:id="76"/>
    <w:p>
      <w:pPr>
        <w:spacing w:after="0"/>
        <w:ind w:left="0"/>
        <w:jc w:val="both"/>
      </w:pPr>
      <w:r>
        <w:rPr>
          <w:rFonts w:ascii="Times New Roman"/>
          <w:b w:val="false"/>
          <w:i w:val="false"/>
          <w:color w:val="000000"/>
          <w:sz w:val="28"/>
        </w:rPr>
        <w:t>
      Скотопрогоны предусматриваются для предупреждения вытаптывания травостоя естественных трав и посевов сельскохозяйственных культур.</w:t>
      </w:r>
    </w:p>
    <w:bookmarkEnd w:id="76"/>
    <w:bookmarkStart w:name="z84" w:id="77"/>
    <w:p>
      <w:pPr>
        <w:spacing w:after="0"/>
        <w:ind w:left="0"/>
        <w:jc w:val="both"/>
      </w:pPr>
      <w:r>
        <w:rPr>
          <w:rFonts w:ascii="Times New Roman"/>
          <w:b w:val="false"/>
          <w:i w:val="false"/>
          <w:color w:val="000000"/>
          <w:sz w:val="28"/>
        </w:rPr>
        <w:t>
      На пастбищных угодьях скотопрогоны, как правило, должны совмещаться с границами гуртовых (отарных) участков, полями пастбищеоборотов.</w:t>
      </w:r>
    </w:p>
    <w:bookmarkEnd w:id="77"/>
    <w:bookmarkStart w:name="z85" w:id="78"/>
    <w:p>
      <w:pPr>
        <w:spacing w:after="0"/>
        <w:ind w:left="0"/>
        <w:jc w:val="left"/>
      </w:pPr>
      <w:r>
        <w:rPr>
          <w:rFonts w:ascii="Times New Roman"/>
          <w:b/>
          <w:i w:val="false"/>
          <w:color w:val="000000"/>
        </w:rPr>
        <w:t xml:space="preserve"> 7. Размещение скотопрогонов</w:t>
      </w:r>
    </w:p>
    <w:bookmarkEnd w:id="78"/>
    <w:bookmarkStart w:name="z86" w:id="79"/>
    <w:p>
      <w:pPr>
        <w:spacing w:after="0"/>
        <w:ind w:left="0"/>
        <w:jc w:val="both"/>
      </w:pPr>
      <w:r>
        <w:rPr>
          <w:rFonts w:ascii="Times New Roman"/>
          <w:b w:val="false"/>
          <w:i w:val="false"/>
          <w:color w:val="000000"/>
          <w:sz w:val="28"/>
        </w:rPr>
        <w:t>
      Для перегона скота к местам выпаса, источникам водопоя, фермам из загона в загон проектируют скотопрогоны.</w:t>
      </w:r>
    </w:p>
    <w:bookmarkEnd w:id="79"/>
    <w:bookmarkStart w:name="z87" w:id="80"/>
    <w:p>
      <w:pPr>
        <w:spacing w:after="0"/>
        <w:ind w:left="0"/>
        <w:jc w:val="both"/>
      </w:pPr>
      <w:r>
        <w:rPr>
          <w:rFonts w:ascii="Times New Roman"/>
          <w:b w:val="false"/>
          <w:i w:val="false"/>
          <w:color w:val="000000"/>
          <w:sz w:val="28"/>
        </w:rPr>
        <w:t>
      Скотопрогоны размещают с расчетом обслуживания ими наибольшей площади и созданияудобной и кратчайшей связи пастбищ с местами стоянки и водопоя скота.</w:t>
      </w:r>
    </w:p>
    <w:bookmarkEnd w:id="80"/>
    <w:bookmarkStart w:name="z88" w:id="81"/>
    <w:p>
      <w:pPr>
        <w:spacing w:after="0"/>
        <w:ind w:left="0"/>
        <w:jc w:val="both"/>
      </w:pPr>
      <w:r>
        <w:rPr>
          <w:rFonts w:ascii="Times New Roman"/>
          <w:b w:val="false"/>
          <w:i w:val="false"/>
          <w:color w:val="000000"/>
          <w:sz w:val="28"/>
        </w:rPr>
        <w:t>
      Предпочтительны прямолинейные скотопрогоны, без лишних изгибов и поворотов, с тупыми углами поворотов. Скотопрогоны необходимо размещать таким образом, чтобы они по возможности не пересекали рек, ручьев, канав, не проходили по заболоченным местам, по бровкам балок и крутых оврагов, без устройства через них переправ, а также по тальвегам балок. Скотопрогоны подразделяют на основные, связывающие фермы, гуртовые участки, и внутри пастбищные.</w:t>
      </w:r>
    </w:p>
    <w:bookmarkEnd w:id="81"/>
    <w:bookmarkStart w:name="z89" w:id="82"/>
    <w:p>
      <w:pPr>
        <w:spacing w:after="0"/>
        <w:ind w:left="0"/>
        <w:jc w:val="both"/>
      </w:pPr>
      <w:r>
        <w:rPr>
          <w:rFonts w:ascii="Times New Roman"/>
          <w:b w:val="false"/>
          <w:i w:val="false"/>
          <w:color w:val="000000"/>
          <w:sz w:val="28"/>
        </w:rPr>
        <w:t>
      Ширина скотопрогонов зависит от вида животных, размера гуртов и отар, а также механического состава почв, степени сбитости травостоя и эрозионных процессов. Не следует совмещать скотопрогоны с дорожной сетью, а особенно с районными и областными дорогами.</w:t>
      </w:r>
    </w:p>
    <w:bookmarkEnd w:id="82"/>
    <w:bookmarkStart w:name="z90" w:id="83"/>
    <w:p>
      <w:pPr>
        <w:spacing w:after="0"/>
        <w:ind w:left="0"/>
        <w:jc w:val="both"/>
      </w:pPr>
      <w:r>
        <w:rPr>
          <w:rFonts w:ascii="Times New Roman"/>
          <w:b w:val="false"/>
          <w:i w:val="false"/>
          <w:color w:val="000000"/>
          <w:sz w:val="28"/>
        </w:rPr>
        <w:t>
      Скотопрогоны должны проектироваться на расстоянии не ближе 2-3 км от животноводческих изоляторов, скотомогильников, населенных пунктов, 0,1 км от проезжих дорог и 0,5-1,0 км от многолетних насаждений.</w:t>
      </w:r>
    </w:p>
    <w:bookmarkEnd w:id="83"/>
    <w:bookmarkStart w:name="z91" w:id="84"/>
    <w:p>
      <w:pPr>
        <w:spacing w:after="0"/>
        <w:ind w:left="0"/>
        <w:jc w:val="left"/>
      </w:pPr>
      <w:r>
        <w:rPr>
          <w:rFonts w:ascii="Times New Roman"/>
          <w:b/>
          <w:i w:val="false"/>
          <w:color w:val="000000"/>
        </w:rPr>
        <w:t xml:space="preserve"> 8. Ветеринарные объекты</w:t>
      </w:r>
    </w:p>
    <w:bookmarkEnd w:id="84"/>
    <w:bookmarkStart w:name="z92" w:id="85"/>
    <w:p>
      <w:pPr>
        <w:spacing w:after="0"/>
        <w:ind w:left="0"/>
        <w:jc w:val="both"/>
      </w:pPr>
      <w:r>
        <w:rPr>
          <w:rFonts w:ascii="Times New Roman"/>
          <w:b w:val="false"/>
          <w:i w:val="false"/>
          <w:color w:val="000000"/>
          <w:sz w:val="28"/>
        </w:rPr>
        <w:t xml:space="preserve">
      Сведения о ветеринарно-санитарных объектах на территории Бухар-Жырауского района представлены в </w:t>
      </w:r>
      <w:r>
        <w:rPr>
          <w:rFonts w:ascii="Times New Roman"/>
          <w:b w:val="false"/>
          <w:i w:val="false"/>
          <w:color w:val="000000"/>
          <w:sz w:val="28"/>
        </w:rPr>
        <w:t>приложении 16</w:t>
      </w:r>
      <w:r>
        <w:rPr>
          <w:rFonts w:ascii="Times New Roman"/>
          <w:b w:val="false"/>
          <w:i w:val="false"/>
          <w:color w:val="000000"/>
          <w:sz w:val="28"/>
        </w:rPr>
        <w:t>.</w:t>
      </w:r>
    </w:p>
    <w:bookmarkEnd w:id="85"/>
    <w:bookmarkStart w:name="z93" w:id="86"/>
    <w:p>
      <w:pPr>
        <w:spacing w:after="0"/>
        <w:ind w:left="0"/>
        <w:jc w:val="left"/>
      </w:pPr>
      <w:r>
        <w:rPr>
          <w:rFonts w:ascii="Times New Roman"/>
          <w:b/>
          <w:i w:val="false"/>
          <w:color w:val="000000"/>
        </w:rPr>
        <w:t xml:space="preserve"> 9. Выводы</w:t>
      </w:r>
    </w:p>
    <w:bookmarkEnd w:id="86"/>
    <w:bookmarkStart w:name="z94" w:id="8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от 20 февраля 2017 года -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 Рациональное использование пастбищ сводится к тому, чтобы создать условия для получения высокой продуктивности пастбищ, сохранить ценный состав травостоя в течение длительного времени, обеспечить пастбищными кормами наибольшее количество животных и получить высокий выход животноводческой продукции. Так применение одной только загонной системы пастьбы дает возможность содержать скот на одной и той же площади на 20-30% больше, а при проведении всей системы рационального использования пастбищ (правильного стравливания травостоя, текущего ухода, введения пастбище оборота, применение загонной системы пастьбы) продуктивность естественных пастбищных угодий увеличивается в 2-3 раза. Пастбища - источник ценного и дешевого зеленого корма для животных. Поэтому организация их рационального использования - важнейшая задача землепользователей.</w:t>
      </w:r>
    </w:p>
    <w:bookmarkEnd w:id="87"/>
    <w:bookmarkStart w:name="z95" w:id="88"/>
    <w:p>
      <w:pPr>
        <w:spacing w:after="0"/>
        <w:ind w:left="0"/>
        <w:jc w:val="both"/>
      </w:pPr>
      <w:r>
        <w:rPr>
          <w:rFonts w:ascii="Times New Roman"/>
          <w:b w:val="false"/>
          <w:i w:val="false"/>
          <w:color w:val="000000"/>
          <w:sz w:val="28"/>
        </w:rPr>
        <w:t>
      Для рационального использования кормовых угодий необходимо:</w:t>
      </w:r>
    </w:p>
    <w:bookmarkEnd w:id="88"/>
    <w:bookmarkStart w:name="z96" w:id="89"/>
    <w:p>
      <w:pPr>
        <w:spacing w:after="0"/>
        <w:ind w:left="0"/>
        <w:jc w:val="both"/>
      </w:pPr>
      <w:r>
        <w:rPr>
          <w:rFonts w:ascii="Times New Roman"/>
          <w:b w:val="false"/>
          <w:i w:val="false"/>
          <w:color w:val="000000"/>
          <w:sz w:val="28"/>
        </w:rPr>
        <w:t>
      освоение и соблюдение пастбищеоборота, прекращение выпаса скота на сильно сбитых пастбищах до полного восстановления травостоя;</w:t>
      </w:r>
    </w:p>
    <w:bookmarkEnd w:id="89"/>
    <w:bookmarkStart w:name="z97" w:id="90"/>
    <w:p>
      <w:pPr>
        <w:spacing w:after="0"/>
        <w:ind w:left="0"/>
        <w:jc w:val="both"/>
      </w:pPr>
      <w:r>
        <w:rPr>
          <w:rFonts w:ascii="Times New Roman"/>
          <w:b w:val="false"/>
          <w:i w:val="false"/>
          <w:color w:val="000000"/>
          <w:sz w:val="28"/>
        </w:rPr>
        <w:t xml:space="preserve">
      запрещается сжигание старики и соломы на пастбищах и пашне, так как это наносит ущерб флоре и фауне; </w:t>
      </w:r>
    </w:p>
    <w:bookmarkEnd w:id="90"/>
    <w:bookmarkStart w:name="z98" w:id="91"/>
    <w:p>
      <w:pPr>
        <w:spacing w:after="0"/>
        <w:ind w:left="0"/>
        <w:jc w:val="both"/>
      </w:pPr>
      <w:r>
        <w:rPr>
          <w:rFonts w:ascii="Times New Roman"/>
          <w:b w:val="false"/>
          <w:i w:val="false"/>
          <w:color w:val="000000"/>
          <w:sz w:val="28"/>
        </w:rPr>
        <w:t xml:space="preserve">
      запрещается уничтожение кустарников, выполняющих охранную роль, сохраняющих земли от размыва; </w:t>
      </w:r>
    </w:p>
    <w:bookmarkEnd w:id="91"/>
    <w:bookmarkStart w:name="z99" w:id="92"/>
    <w:p>
      <w:pPr>
        <w:spacing w:after="0"/>
        <w:ind w:left="0"/>
        <w:jc w:val="both"/>
      </w:pPr>
      <w:r>
        <w:rPr>
          <w:rFonts w:ascii="Times New Roman"/>
          <w:b w:val="false"/>
          <w:i w:val="false"/>
          <w:color w:val="000000"/>
          <w:sz w:val="28"/>
        </w:rPr>
        <w:t>
      осуществлять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92"/>
    <w:bookmarkStart w:name="z100" w:id="93"/>
    <w:p>
      <w:pPr>
        <w:spacing w:after="0"/>
        <w:ind w:left="0"/>
        <w:jc w:val="both"/>
      </w:pPr>
      <w:r>
        <w:rPr>
          <w:rFonts w:ascii="Times New Roman"/>
          <w:b w:val="false"/>
          <w:i w:val="false"/>
          <w:color w:val="000000"/>
          <w:sz w:val="28"/>
        </w:rPr>
        <w:t>
      рационально использовать пастбища по их целевому назначению в соответствии с условиями предоставления пастбищ.</w:t>
      </w:r>
    </w:p>
    <w:bookmarkEnd w:id="93"/>
    <w:bookmarkStart w:name="z101" w:id="9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приложении 17</w:t>
      </w:r>
      <w:r>
        <w:rPr>
          <w:rFonts w:ascii="Times New Roman"/>
          <w:b w:val="false"/>
          <w:i w:val="false"/>
          <w:color w:val="000000"/>
          <w:sz w:val="28"/>
        </w:rPr>
        <w:t>, на территории Бухар-Жырауского района обеспечение пастбищами сельских округов и данные о численности поголовья сельскохозяйственных животных владельцев личных подсобных хозяйств.</w:t>
      </w:r>
    </w:p>
    <w:bookmarkEnd w:id="94"/>
    <w:bookmarkStart w:name="z102" w:id="95"/>
    <w:p>
      <w:pPr>
        <w:spacing w:after="0"/>
        <w:ind w:left="0"/>
        <w:jc w:val="both"/>
      </w:pPr>
      <w:r>
        <w:rPr>
          <w:rFonts w:ascii="Times New Roman"/>
          <w:b w:val="false"/>
          <w:i w:val="false"/>
          <w:color w:val="000000"/>
          <w:sz w:val="28"/>
        </w:rPr>
        <w:t xml:space="preserve">
      Нагрузка на одну голову сельскохозяйственных животных утверждена </w:t>
      </w:r>
      <w:r>
        <w:rPr>
          <w:rFonts w:ascii="Times New Roman"/>
          <w:b w:val="false"/>
          <w:i w:val="false"/>
          <w:color w:val="000000"/>
          <w:sz w:val="28"/>
        </w:rPr>
        <w:t xml:space="preserve">Приказом </w:t>
      </w:r>
      <w:r>
        <w:rPr>
          <w:rFonts w:ascii="Times New Roman"/>
          <w:b w:val="false"/>
          <w:i w:val="false"/>
          <w:color w:val="000000"/>
          <w:sz w:val="28"/>
        </w:rPr>
        <w:t>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(зарегистрировано в Реестре государственной регистрации нормативных правовых актов за № 11034). В целом по району обеспеченность пастбищами недостаточна для ведения животноводства.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04" w:id="96"/>
    <w:p>
      <w:pPr>
        <w:spacing w:after="0"/>
        <w:ind w:left="0"/>
        <w:jc w:val="left"/>
      </w:pPr>
      <w:r>
        <w:rPr>
          <w:rFonts w:ascii="Times New Roman"/>
          <w:b/>
          <w:i w:val="false"/>
          <w:color w:val="000000"/>
        </w:rPr>
        <w:t xml:space="preserve"> Cхема (карта)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96"/>
    <w:bookmarkStart w:name="z10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962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62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08" w:id="99"/>
    <w:p>
      <w:pPr>
        <w:spacing w:after="0"/>
        <w:ind w:left="0"/>
        <w:jc w:val="left"/>
      </w:pPr>
      <w:r>
        <w:rPr>
          <w:rFonts w:ascii="Times New Roman"/>
          <w:b/>
          <w:i w:val="false"/>
          <w:color w:val="000000"/>
        </w:rPr>
        <w:t xml:space="preserve"> Приемлемые схемы пастбищеоборотов</w:t>
      </w:r>
    </w:p>
    <w:bookmarkEnd w:id="99"/>
    <w:bookmarkStart w:name="z109"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11" w:id="10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01"/>
    <w:bookmarkStart w:name="z112"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14" w:id="103"/>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103"/>
    <w:bookmarkStart w:name="z115"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17" w:id="10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05"/>
    <w:bookmarkStart w:name="z118"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20" w:id="107"/>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на территории районного значения, поселке, селе, сельском округе</w:t>
      </w:r>
    </w:p>
    <w:bookmarkEnd w:id="107"/>
    <w:bookmarkStart w:name="z121"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bookmarkStart w:name="z123" w:id="109"/>
    <w:p>
      <w:pPr>
        <w:spacing w:after="0"/>
        <w:ind w:left="0"/>
        <w:jc w:val="left"/>
      </w:pPr>
      <w:r>
        <w:rPr>
          <w:rFonts w:ascii="Times New Roman"/>
          <w:b/>
          <w:i w:val="false"/>
          <w:color w:val="000000"/>
        </w:rPr>
        <w:t xml:space="preserve">  Календарный график по использованию пастбищ, устанавливающих сезонные маршруты выпаса и передвижения сельскохозяйственных животных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 п/п</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выпаса скота на пастбищах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скота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2</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3</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4</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5</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6</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7</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8</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9</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10</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11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12</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13</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14</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15</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16</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17</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18</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19</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20</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21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22</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23</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24</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25</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Умукерский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26</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27</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28</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29</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половина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декада октября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 п/п</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1</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земель 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2</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3</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иного несельскохозяйственного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4</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5</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6</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7</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 охраняемых, природных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533 474</w:t>
            </w:r>
          </w:p>
        </w:tc>
      </w:tr>
    </w:tbl>
    <w:bookmarkStart w:name="z164" w:id="148"/>
    <w:p>
      <w:pPr>
        <w:spacing w:after="0"/>
        <w:ind w:left="0"/>
        <w:jc w:val="both"/>
      </w:pPr>
      <w:r>
        <w:rPr>
          <w:rFonts w:ascii="Times New Roman"/>
          <w:b w:val="false"/>
          <w:i w:val="false"/>
          <w:color w:val="000000"/>
          <w:sz w:val="28"/>
        </w:rPr>
        <w:t>
      Примечание: Площади земель представлены с учетом земель переданных в Абайский район.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Наименование сельских округов и поселков</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Акбельский сельский округ</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 Курама, Алабас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Село Акоре</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Актобинский сельский округ</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Белагашский сельский округ</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Аюлы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Бухар-Жырауский сельский округ</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 Семизбуга, 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Село Ботакара</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Сельский округ Баймырза</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Астаховка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Гагаринский сельский округ</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Доскейский сельский округ</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Трудовое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Село Жанаталап</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Каражарский сельский округ</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 Волховское, Геологическое, Асыл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Село Каракудук</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Каракудук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Кокпектинский сельский округ</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Кокпекты, Байкадам, Сартюбе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Корнеевский сельский округ</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Акжар, Алгабас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Поселок Кушоки</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Кушоки, Майозек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Кызылкайынский сельский округ</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 Тасаул, Саратовка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Поселок имени Г.Мустафина</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станция Нуринская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Новоузенский сельский округ</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Стан, Севан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Петровский сельский округ</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Жанакала, Жастлек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Ростовский сельский округ</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Красная Нива, Кызыл 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Самаркандский сельский округ</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Тегисжол, Чкалово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Село Суыксу</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Суыксу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Тогызкудукский сельский округ</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Тогызкудук, Тасшоки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Сельский округ Тузды</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 Первого мая, Старая тузды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Умуткерский сельский округ</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 Торткуль, Ульгы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Уштобинский сельский округ</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Уштобе, Заречное, Курлус, Новостройка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Центральный сельский округ</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Андренниковка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Шешенкаринский сельский округ</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Шешенкара, станция Ащису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Поселок Ботакара</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станция Ботакара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1</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2</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3</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4</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5</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6</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7</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8</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9</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10</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11</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12</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13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14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15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16</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17</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Мустафина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18</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19</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20</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21</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22</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23</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24</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25</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26</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27</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28</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29</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Виды животных</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Крупный рогатый скот (далее КРС)</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Овцы и козы (далее МРС)</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Лошади</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 п/п</w:t>
            </w:r>
          </w:p>
          <w:bookmarkEnd w:id="2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1</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2</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6"/>
          <w:p>
            <w:pPr>
              <w:spacing w:after="20"/>
              <w:ind w:left="20"/>
              <w:jc w:val="both"/>
            </w:pPr>
            <w:r>
              <w:rPr>
                <w:rFonts w:ascii="Times New Roman"/>
                <w:b w:val="false"/>
                <w:i w:val="false"/>
                <w:color w:val="000000"/>
                <w:sz w:val="20"/>
              </w:rPr>
              <w:t>
3</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4</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8"/>
          <w:p>
            <w:pPr>
              <w:spacing w:after="20"/>
              <w:ind w:left="20"/>
              <w:jc w:val="both"/>
            </w:pPr>
            <w:r>
              <w:rPr>
                <w:rFonts w:ascii="Times New Roman"/>
                <w:b w:val="false"/>
                <w:i w:val="false"/>
                <w:color w:val="000000"/>
                <w:sz w:val="20"/>
              </w:rPr>
              <w:t>
5</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9"/>
          <w:p>
            <w:pPr>
              <w:spacing w:after="20"/>
              <w:ind w:left="20"/>
              <w:jc w:val="both"/>
            </w:pPr>
            <w:r>
              <w:rPr>
                <w:rFonts w:ascii="Times New Roman"/>
                <w:b w:val="false"/>
                <w:i w:val="false"/>
                <w:color w:val="000000"/>
                <w:sz w:val="20"/>
              </w:rPr>
              <w:t>
6</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7</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8</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9</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10</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11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12</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13</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14</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15</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16</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17</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18</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19</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20</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21</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22</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23</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24</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25</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26</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27</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1"/>
          <w:p>
            <w:pPr>
              <w:spacing w:after="20"/>
              <w:ind w:left="20"/>
              <w:jc w:val="both"/>
            </w:pPr>
            <w:r>
              <w:rPr>
                <w:rFonts w:ascii="Times New Roman"/>
                <w:b w:val="false"/>
                <w:i w:val="false"/>
                <w:color w:val="000000"/>
                <w:sz w:val="20"/>
              </w:rPr>
              <w:t>
28</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29</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№п/п</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1</w:t>
            </w:r>
          </w:p>
          <w:bookmarkEnd w:id="24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многолетних трав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естественных лугов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5"/>
          <w:p>
            <w:pPr>
              <w:spacing w:after="20"/>
              <w:ind w:left="20"/>
              <w:jc w:val="both"/>
            </w:pPr>
            <w:r>
              <w:rPr>
                <w:rFonts w:ascii="Times New Roman"/>
                <w:b w:val="false"/>
                <w:i w:val="false"/>
                <w:color w:val="000000"/>
                <w:sz w:val="20"/>
              </w:rPr>
              <w:t>
Годы</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6"/>
          <w:p>
            <w:pPr>
              <w:spacing w:after="20"/>
              <w:ind w:left="20"/>
              <w:jc w:val="both"/>
            </w:pPr>
            <w:r>
              <w:rPr>
                <w:rFonts w:ascii="Times New Roman"/>
                <w:b w:val="false"/>
                <w:i w:val="false"/>
                <w:color w:val="000000"/>
                <w:sz w:val="20"/>
              </w:rPr>
              <w:t>
1</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7"/>
          <w:p>
            <w:pPr>
              <w:spacing w:after="20"/>
              <w:ind w:left="20"/>
              <w:jc w:val="both"/>
            </w:pPr>
            <w:r>
              <w:rPr>
                <w:rFonts w:ascii="Times New Roman"/>
                <w:b w:val="false"/>
                <w:i w:val="false"/>
                <w:color w:val="000000"/>
                <w:sz w:val="20"/>
              </w:rPr>
              <w:t>
2</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8"/>
          <w:p>
            <w:pPr>
              <w:spacing w:after="20"/>
              <w:ind w:left="20"/>
              <w:jc w:val="both"/>
            </w:pPr>
            <w:r>
              <w:rPr>
                <w:rFonts w:ascii="Times New Roman"/>
                <w:b w:val="false"/>
                <w:i w:val="false"/>
                <w:color w:val="000000"/>
                <w:sz w:val="20"/>
              </w:rPr>
              <w:t>
3</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9"/>
          <w:p>
            <w:pPr>
              <w:spacing w:after="20"/>
              <w:ind w:left="20"/>
              <w:jc w:val="both"/>
            </w:pPr>
            <w:r>
              <w:rPr>
                <w:rFonts w:ascii="Times New Roman"/>
                <w:b w:val="false"/>
                <w:i w:val="false"/>
                <w:color w:val="000000"/>
                <w:sz w:val="20"/>
              </w:rPr>
              <w:t>
4</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0"/>
          <w:p>
            <w:pPr>
              <w:spacing w:after="20"/>
              <w:ind w:left="20"/>
              <w:jc w:val="both"/>
            </w:pPr>
            <w:r>
              <w:rPr>
                <w:rFonts w:ascii="Times New Roman"/>
                <w:b w:val="false"/>
                <w:i w:val="false"/>
                <w:color w:val="000000"/>
                <w:sz w:val="20"/>
              </w:rPr>
              <w:t>
№ п/п</w:t>
            </w:r>
          </w:p>
          <w:bookmarkEnd w:id="25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1</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2"/>
          <w:p>
            <w:pPr>
              <w:spacing w:after="20"/>
              <w:ind w:left="20"/>
              <w:jc w:val="both"/>
            </w:pPr>
            <w:r>
              <w:rPr>
                <w:rFonts w:ascii="Times New Roman"/>
                <w:b w:val="false"/>
                <w:i w:val="false"/>
                <w:color w:val="000000"/>
                <w:sz w:val="20"/>
              </w:rPr>
              <w:t>
2</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3"/>
          <w:p>
            <w:pPr>
              <w:spacing w:after="20"/>
              <w:ind w:left="20"/>
              <w:jc w:val="both"/>
            </w:pPr>
            <w:r>
              <w:rPr>
                <w:rFonts w:ascii="Times New Roman"/>
                <w:b w:val="false"/>
                <w:i w:val="false"/>
                <w:color w:val="000000"/>
                <w:sz w:val="20"/>
              </w:rPr>
              <w:t>
3</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4"/>
          <w:p>
            <w:pPr>
              <w:spacing w:after="20"/>
              <w:ind w:left="20"/>
              <w:jc w:val="both"/>
            </w:pPr>
            <w:r>
              <w:rPr>
                <w:rFonts w:ascii="Times New Roman"/>
                <w:b w:val="false"/>
                <w:i w:val="false"/>
                <w:color w:val="000000"/>
                <w:sz w:val="20"/>
              </w:rPr>
              <w:t>
4</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5</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6</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7"/>
          <w:p>
            <w:pPr>
              <w:spacing w:after="20"/>
              <w:ind w:left="20"/>
              <w:jc w:val="both"/>
            </w:pPr>
            <w:r>
              <w:rPr>
                <w:rFonts w:ascii="Times New Roman"/>
                <w:b w:val="false"/>
                <w:i w:val="false"/>
                <w:color w:val="000000"/>
                <w:sz w:val="20"/>
              </w:rPr>
              <w:t>
7</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8</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9"/>
          <w:p>
            <w:pPr>
              <w:spacing w:after="20"/>
              <w:ind w:left="20"/>
              <w:jc w:val="both"/>
            </w:pPr>
            <w:r>
              <w:rPr>
                <w:rFonts w:ascii="Times New Roman"/>
                <w:b w:val="false"/>
                <w:i w:val="false"/>
                <w:color w:val="000000"/>
                <w:sz w:val="20"/>
              </w:rPr>
              <w:t>
9</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0"/>
          <w:p>
            <w:pPr>
              <w:spacing w:after="20"/>
              <w:ind w:left="20"/>
              <w:jc w:val="both"/>
            </w:pPr>
            <w:r>
              <w:rPr>
                <w:rFonts w:ascii="Times New Roman"/>
                <w:b w:val="false"/>
                <w:i w:val="false"/>
                <w:color w:val="000000"/>
                <w:sz w:val="20"/>
              </w:rPr>
              <w:t>
10</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1"/>
          <w:p>
            <w:pPr>
              <w:spacing w:after="20"/>
              <w:ind w:left="20"/>
              <w:jc w:val="both"/>
            </w:pPr>
            <w:r>
              <w:rPr>
                <w:rFonts w:ascii="Times New Roman"/>
                <w:b w:val="false"/>
                <w:i w:val="false"/>
                <w:color w:val="000000"/>
                <w:sz w:val="20"/>
              </w:rPr>
              <w:t>
11</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2"/>
          <w:p>
            <w:pPr>
              <w:spacing w:after="20"/>
              <w:ind w:left="20"/>
              <w:jc w:val="both"/>
            </w:pPr>
            <w:r>
              <w:rPr>
                <w:rFonts w:ascii="Times New Roman"/>
                <w:b w:val="false"/>
                <w:i w:val="false"/>
                <w:color w:val="000000"/>
                <w:sz w:val="20"/>
              </w:rPr>
              <w:t>
12</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3"/>
          <w:p>
            <w:pPr>
              <w:spacing w:after="20"/>
              <w:ind w:left="20"/>
              <w:jc w:val="both"/>
            </w:pPr>
            <w:r>
              <w:rPr>
                <w:rFonts w:ascii="Times New Roman"/>
                <w:b w:val="false"/>
                <w:i w:val="false"/>
                <w:color w:val="000000"/>
                <w:sz w:val="20"/>
              </w:rPr>
              <w:t>
13</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4"/>
          <w:p>
            <w:pPr>
              <w:spacing w:after="20"/>
              <w:ind w:left="20"/>
              <w:jc w:val="both"/>
            </w:pPr>
            <w:r>
              <w:rPr>
                <w:rFonts w:ascii="Times New Roman"/>
                <w:b w:val="false"/>
                <w:i w:val="false"/>
                <w:color w:val="000000"/>
                <w:sz w:val="20"/>
              </w:rPr>
              <w:t>
14</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5"/>
          <w:p>
            <w:pPr>
              <w:spacing w:after="20"/>
              <w:ind w:left="20"/>
              <w:jc w:val="both"/>
            </w:pPr>
            <w:r>
              <w:rPr>
                <w:rFonts w:ascii="Times New Roman"/>
                <w:b w:val="false"/>
                <w:i w:val="false"/>
                <w:color w:val="000000"/>
                <w:sz w:val="20"/>
              </w:rPr>
              <w:t>
15</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6"/>
          <w:p>
            <w:pPr>
              <w:spacing w:after="20"/>
              <w:ind w:left="20"/>
              <w:jc w:val="both"/>
            </w:pPr>
            <w:r>
              <w:rPr>
                <w:rFonts w:ascii="Times New Roman"/>
                <w:b w:val="false"/>
                <w:i w:val="false"/>
                <w:color w:val="000000"/>
                <w:sz w:val="20"/>
              </w:rPr>
              <w:t>
16</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7"/>
          <w:p>
            <w:pPr>
              <w:spacing w:after="20"/>
              <w:ind w:left="20"/>
              <w:jc w:val="both"/>
            </w:pPr>
            <w:r>
              <w:rPr>
                <w:rFonts w:ascii="Times New Roman"/>
                <w:b w:val="false"/>
                <w:i w:val="false"/>
                <w:color w:val="000000"/>
                <w:sz w:val="20"/>
              </w:rPr>
              <w:t>
17</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Г.Мустафина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8"/>
          <w:p>
            <w:pPr>
              <w:spacing w:after="20"/>
              <w:ind w:left="20"/>
              <w:jc w:val="both"/>
            </w:pPr>
            <w:r>
              <w:rPr>
                <w:rFonts w:ascii="Times New Roman"/>
                <w:b w:val="false"/>
                <w:i w:val="false"/>
                <w:color w:val="000000"/>
                <w:sz w:val="20"/>
              </w:rPr>
              <w:t>
18</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9"/>
          <w:p>
            <w:pPr>
              <w:spacing w:after="20"/>
              <w:ind w:left="20"/>
              <w:jc w:val="both"/>
            </w:pPr>
            <w:r>
              <w:rPr>
                <w:rFonts w:ascii="Times New Roman"/>
                <w:b w:val="false"/>
                <w:i w:val="false"/>
                <w:color w:val="000000"/>
                <w:sz w:val="20"/>
              </w:rPr>
              <w:t>
19</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0"/>
          <w:p>
            <w:pPr>
              <w:spacing w:after="20"/>
              <w:ind w:left="20"/>
              <w:jc w:val="both"/>
            </w:pPr>
            <w:r>
              <w:rPr>
                <w:rFonts w:ascii="Times New Roman"/>
                <w:b w:val="false"/>
                <w:i w:val="false"/>
                <w:color w:val="000000"/>
                <w:sz w:val="20"/>
              </w:rPr>
              <w:t>
20</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1"/>
          <w:p>
            <w:pPr>
              <w:spacing w:after="20"/>
              <w:ind w:left="20"/>
              <w:jc w:val="both"/>
            </w:pPr>
            <w:r>
              <w:rPr>
                <w:rFonts w:ascii="Times New Roman"/>
                <w:b w:val="false"/>
                <w:i w:val="false"/>
                <w:color w:val="000000"/>
                <w:sz w:val="20"/>
              </w:rPr>
              <w:t>
21</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2"/>
          <w:p>
            <w:pPr>
              <w:spacing w:after="20"/>
              <w:ind w:left="20"/>
              <w:jc w:val="both"/>
            </w:pPr>
            <w:r>
              <w:rPr>
                <w:rFonts w:ascii="Times New Roman"/>
                <w:b w:val="false"/>
                <w:i w:val="false"/>
                <w:color w:val="000000"/>
                <w:sz w:val="20"/>
              </w:rPr>
              <w:t>
22</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3"/>
          <w:p>
            <w:pPr>
              <w:spacing w:after="20"/>
              <w:ind w:left="20"/>
              <w:jc w:val="both"/>
            </w:pPr>
            <w:r>
              <w:rPr>
                <w:rFonts w:ascii="Times New Roman"/>
                <w:b w:val="false"/>
                <w:i w:val="false"/>
                <w:color w:val="000000"/>
                <w:sz w:val="20"/>
              </w:rPr>
              <w:t>
23</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4"/>
          <w:p>
            <w:pPr>
              <w:spacing w:after="20"/>
              <w:ind w:left="20"/>
              <w:jc w:val="both"/>
            </w:pPr>
            <w:r>
              <w:rPr>
                <w:rFonts w:ascii="Times New Roman"/>
                <w:b w:val="false"/>
                <w:i w:val="false"/>
                <w:color w:val="000000"/>
                <w:sz w:val="20"/>
              </w:rPr>
              <w:t>
24</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5"/>
          <w:p>
            <w:pPr>
              <w:spacing w:after="20"/>
              <w:ind w:left="20"/>
              <w:jc w:val="both"/>
            </w:pPr>
            <w:r>
              <w:rPr>
                <w:rFonts w:ascii="Times New Roman"/>
                <w:b w:val="false"/>
                <w:i w:val="false"/>
                <w:color w:val="000000"/>
                <w:sz w:val="20"/>
              </w:rPr>
              <w:t>
25</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6"/>
          <w:p>
            <w:pPr>
              <w:spacing w:after="20"/>
              <w:ind w:left="20"/>
              <w:jc w:val="both"/>
            </w:pPr>
            <w:r>
              <w:rPr>
                <w:rFonts w:ascii="Times New Roman"/>
                <w:b w:val="false"/>
                <w:i w:val="false"/>
                <w:color w:val="000000"/>
                <w:sz w:val="20"/>
              </w:rPr>
              <w:t>
26</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7"/>
          <w:p>
            <w:pPr>
              <w:spacing w:after="20"/>
              <w:ind w:left="20"/>
              <w:jc w:val="both"/>
            </w:pPr>
            <w:r>
              <w:rPr>
                <w:rFonts w:ascii="Times New Roman"/>
                <w:b w:val="false"/>
                <w:i w:val="false"/>
                <w:color w:val="000000"/>
                <w:sz w:val="20"/>
              </w:rPr>
              <w:t>
27</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8"/>
          <w:p>
            <w:pPr>
              <w:spacing w:after="20"/>
              <w:ind w:left="20"/>
              <w:jc w:val="both"/>
            </w:pPr>
            <w:r>
              <w:rPr>
                <w:rFonts w:ascii="Times New Roman"/>
                <w:b w:val="false"/>
                <w:i w:val="false"/>
                <w:color w:val="000000"/>
                <w:sz w:val="20"/>
              </w:rPr>
              <w:t>
28</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9"/>
          <w:p>
            <w:pPr>
              <w:spacing w:after="20"/>
              <w:ind w:left="20"/>
              <w:jc w:val="both"/>
            </w:pPr>
            <w:r>
              <w:rPr>
                <w:rFonts w:ascii="Times New Roman"/>
                <w:b w:val="false"/>
                <w:i w:val="false"/>
                <w:color w:val="000000"/>
                <w:sz w:val="20"/>
              </w:rPr>
              <w:t>
29</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 п/п</w:t>
            </w:r>
          </w:p>
          <w:bookmarkEnd w:id="2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площадки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 осеменения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Скотомогильники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Сибиреязвенные захоронения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1</w:t>
            </w:r>
          </w:p>
          <w:bookmarkEnd w:id="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2</w:t>
            </w:r>
          </w:p>
          <w:bookmarkEnd w:id="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3</w:t>
            </w:r>
          </w:p>
          <w:bookmarkEnd w:id="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4</w:t>
            </w:r>
          </w:p>
          <w:bookmarkEnd w:id="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5"/>
          <w:p>
            <w:pPr>
              <w:spacing w:after="20"/>
              <w:ind w:left="20"/>
              <w:jc w:val="both"/>
            </w:pPr>
            <w:r>
              <w:rPr>
                <w:rFonts w:ascii="Times New Roman"/>
                <w:b w:val="false"/>
                <w:i w:val="false"/>
                <w:color w:val="000000"/>
                <w:sz w:val="20"/>
              </w:rPr>
              <w:t>
5</w:t>
            </w:r>
          </w:p>
          <w:bookmarkEnd w:id="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6</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7"/>
          <w:p>
            <w:pPr>
              <w:spacing w:after="20"/>
              <w:ind w:left="20"/>
              <w:jc w:val="both"/>
            </w:pPr>
            <w:r>
              <w:rPr>
                <w:rFonts w:ascii="Times New Roman"/>
                <w:b w:val="false"/>
                <w:i w:val="false"/>
                <w:color w:val="000000"/>
                <w:sz w:val="20"/>
              </w:rPr>
              <w:t>
7</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8"/>
          <w:p>
            <w:pPr>
              <w:spacing w:after="20"/>
              <w:ind w:left="20"/>
              <w:jc w:val="both"/>
            </w:pPr>
            <w:r>
              <w:rPr>
                <w:rFonts w:ascii="Times New Roman"/>
                <w:b w:val="false"/>
                <w:i w:val="false"/>
                <w:color w:val="000000"/>
                <w:sz w:val="20"/>
              </w:rPr>
              <w:t>
8</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9</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0"/>
          <w:p>
            <w:pPr>
              <w:spacing w:after="20"/>
              <w:ind w:left="20"/>
              <w:jc w:val="both"/>
            </w:pPr>
            <w:r>
              <w:rPr>
                <w:rFonts w:ascii="Times New Roman"/>
                <w:b w:val="false"/>
                <w:i w:val="false"/>
                <w:color w:val="000000"/>
                <w:sz w:val="20"/>
              </w:rPr>
              <w:t>
10</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1"/>
          <w:p>
            <w:pPr>
              <w:spacing w:after="20"/>
              <w:ind w:left="20"/>
              <w:jc w:val="both"/>
            </w:pPr>
            <w:r>
              <w:rPr>
                <w:rFonts w:ascii="Times New Roman"/>
                <w:b w:val="false"/>
                <w:i w:val="false"/>
                <w:color w:val="000000"/>
                <w:sz w:val="20"/>
              </w:rPr>
              <w:t>
11</w:t>
            </w:r>
          </w:p>
          <w:bookmarkEnd w:id="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2"/>
          <w:p>
            <w:pPr>
              <w:spacing w:after="20"/>
              <w:ind w:left="20"/>
              <w:jc w:val="both"/>
            </w:pPr>
            <w:r>
              <w:rPr>
                <w:rFonts w:ascii="Times New Roman"/>
                <w:b w:val="false"/>
                <w:i w:val="false"/>
                <w:color w:val="000000"/>
                <w:sz w:val="20"/>
              </w:rPr>
              <w:t>
12</w:t>
            </w:r>
          </w:p>
          <w:bookmarkEnd w:id="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13</w:t>
            </w:r>
          </w:p>
          <w:bookmarkEnd w:id="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4"/>
          <w:p>
            <w:pPr>
              <w:spacing w:after="20"/>
              <w:ind w:left="20"/>
              <w:jc w:val="both"/>
            </w:pPr>
            <w:r>
              <w:rPr>
                <w:rFonts w:ascii="Times New Roman"/>
                <w:b w:val="false"/>
                <w:i w:val="false"/>
                <w:color w:val="000000"/>
                <w:sz w:val="20"/>
              </w:rPr>
              <w:t>
14</w:t>
            </w:r>
          </w:p>
          <w:bookmarkEnd w:id="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5"/>
          <w:p>
            <w:pPr>
              <w:spacing w:after="20"/>
              <w:ind w:left="20"/>
              <w:jc w:val="both"/>
            </w:pPr>
            <w:r>
              <w:rPr>
                <w:rFonts w:ascii="Times New Roman"/>
                <w:b w:val="false"/>
                <w:i w:val="false"/>
                <w:color w:val="000000"/>
                <w:sz w:val="20"/>
              </w:rPr>
              <w:t>
15</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6"/>
          <w:p>
            <w:pPr>
              <w:spacing w:after="20"/>
              <w:ind w:left="20"/>
              <w:jc w:val="both"/>
            </w:pPr>
            <w:r>
              <w:rPr>
                <w:rFonts w:ascii="Times New Roman"/>
                <w:b w:val="false"/>
                <w:i w:val="false"/>
                <w:color w:val="000000"/>
                <w:sz w:val="20"/>
              </w:rPr>
              <w:t>
16</w:t>
            </w:r>
          </w:p>
          <w:bookmarkEnd w:id="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Кызылкайынский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17</w:t>
            </w:r>
          </w:p>
          <w:bookmarkEnd w:id="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Г. Мустафина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18</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9"/>
          <w:p>
            <w:pPr>
              <w:spacing w:after="20"/>
              <w:ind w:left="20"/>
              <w:jc w:val="both"/>
            </w:pPr>
            <w:r>
              <w:rPr>
                <w:rFonts w:ascii="Times New Roman"/>
                <w:b w:val="false"/>
                <w:i w:val="false"/>
                <w:color w:val="000000"/>
                <w:sz w:val="20"/>
              </w:rPr>
              <w:t>
19</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0"/>
          <w:p>
            <w:pPr>
              <w:spacing w:after="20"/>
              <w:ind w:left="20"/>
              <w:jc w:val="both"/>
            </w:pPr>
            <w:r>
              <w:rPr>
                <w:rFonts w:ascii="Times New Roman"/>
                <w:b w:val="false"/>
                <w:i w:val="false"/>
                <w:color w:val="000000"/>
                <w:sz w:val="20"/>
              </w:rPr>
              <w:t>
20</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r>
              <w:rPr>
                <w:rFonts w:ascii="Times New Roman"/>
                <w:b w:val="false"/>
                <w:i w:val="false"/>
                <w:color w:val="000000"/>
                <w:sz w:val="20"/>
              </w:rPr>
              <w:t>
21</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22</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Суыксу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23</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24</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25</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6"/>
          <w:p>
            <w:pPr>
              <w:spacing w:after="20"/>
              <w:ind w:left="20"/>
              <w:jc w:val="both"/>
            </w:pPr>
            <w:r>
              <w:rPr>
                <w:rFonts w:ascii="Times New Roman"/>
                <w:b w:val="false"/>
                <w:i w:val="false"/>
                <w:color w:val="000000"/>
                <w:sz w:val="20"/>
              </w:rPr>
              <w:t>
26</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7"/>
          <w:p>
            <w:pPr>
              <w:spacing w:after="20"/>
              <w:ind w:left="20"/>
              <w:jc w:val="both"/>
            </w:pPr>
            <w:r>
              <w:rPr>
                <w:rFonts w:ascii="Times New Roman"/>
                <w:b w:val="false"/>
                <w:i w:val="false"/>
                <w:color w:val="000000"/>
                <w:sz w:val="20"/>
              </w:rPr>
              <w:t>
27</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8"/>
          <w:p>
            <w:pPr>
              <w:spacing w:after="20"/>
              <w:ind w:left="20"/>
              <w:jc w:val="both"/>
            </w:pPr>
            <w:r>
              <w:rPr>
                <w:rFonts w:ascii="Times New Roman"/>
                <w:b w:val="false"/>
                <w:i w:val="false"/>
                <w:color w:val="000000"/>
                <w:sz w:val="20"/>
              </w:rPr>
              <w:t>
28</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9"/>
          <w:p>
            <w:pPr>
              <w:spacing w:after="20"/>
              <w:ind w:left="20"/>
              <w:jc w:val="both"/>
            </w:pPr>
            <w:r>
              <w:rPr>
                <w:rFonts w:ascii="Times New Roman"/>
                <w:b w:val="false"/>
                <w:i w:val="false"/>
                <w:color w:val="000000"/>
                <w:sz w:val="20"/>
              </w:rPr>
              <w:t>
29</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Бухар-Жыраускому району на</w:t>
            </w:r>
            <w:r>
              <w:br/>
            </w:r>
            <w:r>
              <w:rPr>
                <w:rFonts w:ascii="Times New Roman"/>
                <w:b w:val="false"/>
                <w:i w:val="false"/>
                <w:color w:val="000000"/>
                <w:sz w:val="20"/>
              </w:rPr>
              <w:t>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0"/>
          <w:p>
            <w:pPr>
              <w:spacing w:after="20"/>
              <w:ind w:left="20"/>
              <w:jc w:val="both"/>
            </w:pPr>
            <w:r>
              <w:rPr>
                <w:rFonts w:ascii="Times New Roman"/>
                <w:b w:val="false"/>
                <w:i w:val="false"/>
                <w:color w:val="000000"/>
                <w:sz w:val="20"/>
              </w:rPr>
              <w:t>
Наименование сельского округа</w:t>
            </w:r>
          </w:p>
          <w:bookmarkEnd w:id="31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факт,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потребность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 голову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пастбищ,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1"/>
          <w:p>
            <w:pPr>
              <w:spacing w:after="20"/>
              <w:ind w:left="20"/>
              <w:jc w:val="both"/>
            </w:pPr>
            <w:r>
              <w:rPr>
                <w:rFonts w:ascii="Times New Roman"/>
                <w:b w:val="false"/>
                <w:i w:val="false"/>
                <w:color w:val="000000"/>
                <w:sz w:val="20"/>
              </w:rPr>
              <w:t>
Акбельский сельский округ</w:t>
            </w:r>
          </w:p>
          <w:bookmarkEnd w:id="3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2"/>
          <w:p>
            <w:pPr>
              <w:spacing w:after="20"/>
              <w:ind w:left="20"/>
              <w:jc w:val="both"/>
            </w:pPr>
            <w:r>
              <w:rPr>
                <w:rFonts w:ascii="Times New Roman"/>
                <w:b w:val="false"/>
                <w:i w:val="false"/>
                <w:color w:val="000000"/>
                <w:sz w:val="20"/>
              </w:rPr>
              <w:t>
Село Акоре</w:t>
            </w:r>
          </w:p>
          <w:bookmarkEnd w:id="3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3"/>
          <w:p>
            <w:pPr>
              <w:spacing w:after="20"/>
              <w:ind w:left="20"/>
              <w:jc w:val="both"/>
            </w:pPr>
            <w:r>
              <w:rPr>
                <w:rFonts w:ascii="Times New Roman"/>
                <w:b w:val="false"/>
                <w:i w:val="false"/>
                <w:color w:val="000000"/>
                <w:sz w:val="20"/>
              </w:rPr>
              <w:t>
Актобинский сельский округ</w:t>
            </w:r>
          </w:p>
          <w:bookmarkEnd w:id="3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4"/>
          <w:p>
            <w:pPr>
              <w:spacing w:after="20"/>
              <w:ind w:left="20"/>
              <w:jc w:val="both"/>
            </w:pPr>
            <w:r>
              <w:rPr>
                <w:rFonts w:ascii="Times New Roman"/>
                <w:b w:val="false"/>
                <w:i w:val="false"/>
                <w:color w:val="000000"/>
                <w:sz w:val="20"/>
              </w:rPr>
              <w:t>
Белагашский сельский округ</w:t>
            </w:r>
          </w:p>
          <w:bookmarkEnd w:id="3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5"/>
          <w:p>
            <w:pPr>
              <w:spacing w:after="20"/>
              <w:ind w:left="20"/>
              <w:jc w:val="both"/>
            </w:pPr>
            <w:r>
              <w:rPr>
                <w:rFonts w:ascii="Times New Roman"/>
                <w:b w:val="false"/>
                <w:i w:val="false"/>
                <w:color w:val="000000"/>
                <w:sz w:val="20"/>
              </w:rPr>
              <w:t>
Бухар-Жырауский сельский округ</w:t>
            </w:r>
          </w:p>
          <w:bookmarkEnd w:id="3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6"/>
          <w:p>
            <w:pPr>
              <w:spacing w:after="20"/>
              <w:ind w:left="20"/>
              <w:jc w:val="both"/>
            </w:pPr>
            <w:r>
              <w:rPr>
                <w:rFonts w:ascii="Times New Roman"/>
                <w:b w:val="false"/>
                <w:i w:val="false"/>
                <w:color w:val="000000"/>
                <w:sz w:val="20"/>
              </w:rPr>
              <w:t>
Село Ботакара</w:t>
            </w:r>
          </w:p>
          <w:bookmarkEnd w:id="3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7"/>
          <w:p>
            <w:pPr>
              <w:spacing w:after="20"/>
              <w:ind w:left="20"/>
              <w:jc w:val="both"/>
            </w:pPr>
            <w:r>
              <w:rPr>
                <w:rFonts w:ascii="Times New Roman"/>
                <w:b w:val="false"/>
                <w:i w:val="false"/>
                <w:color w:val="000000"/>
                <w:sz w:val="20"/>
              </w:rPr>
              <w:t>
Сельский округ Баймырза</w:t>
            </w:r>
          </w:p>
          <w:bookmarkEnd w:id="3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8"/>
          <w:p>
            <w:pPr>
              <w:spacing w:after="20"/>
              <w:ind w:left="20"/>
              <w:jc w:val="both"/>
            </w:pPr>
            <w:r>
              <w:rPr>
                <w:rFonts w:ascii="Times New Roman"/>
                <w:b w:val="false"/>
                <w:i w:val="false"/>
                <w:color w:val="000000"/>
                <w:sz w:val="20"/>
              </w:rPr>
              <w:t>
Гагаринский сельский округ</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9"/>
          <w:p>
            <w:pPr>
              <w:spacing w:after="20"/>
              <w:ind w:left="20"/>
              <w:jc w:val="both"/>
            </w:pPr>
            <w:r>
              <w:rPr>
                <w:rFonts w:ascii="Times New Roman"/>
                <w:b w:val="false"/>
                <w:i w:val="false"/>
                <w:color w:val="000000"/>
                <w:sz w:val="20"/>
              </w:rPr>
              <w:t>
Доскейский сельский округ</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0"/>
          <w:p>
            <w:pPr>
              <w:spacing w:after="20"/>
              <w:ind w:left="20"/>
              <w:jc w:val="both"/>
            </w:pPr>
            <w:r>
              <w:rPr>
                <w:rFonts w:ascii="Times New Roman"/>
                <w:b w:val="false"/>
                <w:i w:val="false"/>
                <w:color w:val="000000"/>
                <w:sz w:val="20"/>
              </w:rPr>
              <w:t>
Село Жанаталап</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1"/>
          <w:p>
            <w:pPr>
              <w:spacing w:after="20"/>
              <w:ind w:left="20"/>
              <w:jc w:val="both"/>
            </w:pPr>
            <w:r>
              <w:rPr>
                <w:rFonts w:ascii="Times New Roman"/>
                <w:b w:val="false"/>
                <w:i w:val="false"/>
                <w:color w:val="000000"/>
                <w:sz w:val="20"/>
              </w:rPr>
              <w:t>
Каражарский сельский округ</w:t>
            </w:r>
          </w:p>
          <w:bookmarkEnd w:id="3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2"/>
          <w:p>
            <w:pPr>
              <w:spacing w:after="20"/>
              <w:ind w:left="20"/>
              <w:jc w:val="both"/>
            </w:pPr>
            <w:r>
              <w:rPr>
                <w:rFonts w:ascii="Times New Roman"/>
                <w:b w:val="false"/>
                <w:i w:val="false"/>
                <w:color w:val="000000"/>
                <w:sz w:val="20"/>
              </w:rPr>
              <w:t>
Село Каракудук</w:t>
            </w:r>
          </w:p>
          <w:bookmarkEnd w:id="3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3"/>
          <w:p>
            <w:pPr>
              <w:spacing w:after="20"/>
              <w:ind w:left="20"/>
              <w:jc w:val="both"/>
            </w:pPr>
            <w:r>
              <w:rPr>
                <w:rFonts w:ascii="Times New Roman"/>
                <w:b w:val="false"/>
                <w:i w:val="false"/>
                <w:color w:val="000000"/>
                <w:sz w:val="20"/>
              </w:rPr>
              <w:t>
Кокпектинский сельский округ</w:t>
            </w:r>
          </w:p>
          <w:bookmarkEnd w:id="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Корнеевский сельский округ</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5"/>
          <w:p>
            <w:pPr>
              <w:spacing w:after="20"/>
              <w:ind w:left="20"/>
              <w:jc w:val="both"/>
            </w:pPr>
            <w:r>
              <w:rPr>
                <w:rFonts w:ascii="Times New Roman"/>
                <w:b w:val="false"/>
                <w:i w:val="false"/>
                <w:color w:val="000000"/>
                <w:sz w:val="20"/>
              </w:rPr>
              <w:t>
Поселок Кушоки</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6"/>
          <w:p>
            <w:pPr>
              <w:spacing w:after="20"/>
              <w:ind w:left="20"/>
              <w:jc w:val="both"/>
            </w:pPr>
            <w:r>
              <w:rPr>
                <w:rFonts w:ascii="Times New Roman"/>
                <w:b w:val="false"/>
                <w:i w:val="false"/>
                <w:color w:val="000000"/>
                <w:sz w:val="20"/>
              </w:rPr>
              <w:t>
Кызылкайынский сельский округ</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7"/>
          <w:p>
            <w:pPr>
              <w:spacing w:after="20"/>
              <w:ind w:left="20"/>
              <w:jc w:val="both"/>
            </w:pPr>
            <w:r>
              <w:rPr>
                <w:rFonts w:ascii="Times New Roman"/>
                <w:b w:val="false"/>
                <w:i w:val="false"/>
                <w:color w:val="000000"/>
                <w:sz w:val="20"/>
              </w:rPr>
              <w:t>
Поселок имени Г.Мустафина</w:t>
            </w:r>
          </w:p>
          <w:bookmarkEnd w:id="3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8"/>
          <w:p>
            <w:pPr>
              <w:spacing w:after="20"/>
              <w:ind w:left="20"/>
              <w:jc w:val="both"/>
            </w:pPr>
            <w:r>
              <w:rPr>
                <w:rFonts w:ascii="Times New Roman"/>
                <w:b w:val="false"/>
                <w:i w:val="false"/>
                <w:color w:val="000000"/>
                <w:sz w:val="20"/>
              </w:rPr>
              <w:t>
Новоузенский сельский округ</w:t>
            </w:r>
          </w:p>
          <w:bookmarkEnd w:id="3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9"/>
          <w:p>
            <w:pPr>
              <w:spacing w:after="20"/>
              <w:ind w:left="20"/>
              <w:jc w:val="both"/>
            </w:pPr>
            <w:r>
              <w:rPr>
                <w:rFonts w:ascii="Times New Roman"/>
                <w:b w:val="false"/>
                <w:i w:val="false"/>
                <w:color w:val="000000"/>
                <w:sz w:val="20"/>
              </w:rPr>
              <w:t>
Петровский сельский округ</w:t>
            </w:r>
          </w:p>
          <w:bookmarkEnd w:id="3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0"/>
          <w:p>
            <w:pPr>
              <w:spacing w:after="20"/>
              <w:ind w:left="20"/>
              <w:jc w:val="both"/>
            </w:pPr>
            <w:r>
              <w:rPr>
                <w:rFonts w:ascii="Times New Roman"/>
                <w:b w:val="false"/>
                <w:i w:val="false"/>
                <w:color w:val="000000"/>
                <w:sz w:val="20"/>
              </w:rPr>
              <w:t>
Ростовский сельский округ</w:t>
            </w:r>
          </w:p>
          <w:bookmarkEnd w:id="3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1"/>
          <w:p>
            <w:pPr>
              <w:spacing w:after="20"/>
              <w:ind w:left="20"/>
              <w:jc w:val="both"/>
            </w:pPr>
            <w:r>
              <w:rPr>
                <w:rFonts w:ascii="Times New Roman"/>
                <w:b w:val="false"/>
                <w:i w:val="false"/>
                <w:color w:val="000000"/>
                <w:sz w:val="20"/>
              </w:rPr>
              <w:t>
Самаркандский сельский округ</w:t>
            </w:r>
          </w:p>
          <w:bookmarkEnd w:id="3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2"/>
          <w:p>
            <w:pPr>
              <w:spacing w:after="20"/>
              <w:ind w:left="20"/>
              <w:jc w:val="both"/>
            </w:pPr>
            <w:r>
              <w:rPr>
                <w:rFonts w:ascii="Times New Roman"/>
                <w:b w:val="false"/>
                <w:i w:val="false"/>
                <w:color w:val="000000"/>
                <w:sz w:val="20"/>
              </w:rPr>
              <w:t>
Село Суыксу</w:t>
            </w:r>
          </w:p>
          <w:bookmarkEnd w:id="3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3"/>
          <w:p>
            <w:pPr>
              <w:spacing w:after="20"/>
              <w:ind w:left="20"/>
              <w:jc w:val="both"/>
            </w:pPr>
            <w:r>
              <w:rPr>
                <w:rFonts w:ascii="Times New Roman"/>
                <w:b w:val="false"/>
                <w:i w:val="false"/>
                <w:color w:val="000000"/>
                <w:sz w:val="20"/>
              </w:rPr>
              <w:t>
Тогызкудукский сельский округ</w:t>
            </w:r>
          </w:p>
          <w:bookmarkEnd w:id="3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4"/>
          <w:p>
            <w:pPr>
              <w:spacing w:after="20"/>
              <w:ind w:left="20"/>
              <w:jc w:val="both"/>
            </w:pPr>
            <w:r>
              <w:rPr>
                <w:rFonts w:ascii="Times New Roman"/>
                <w:b w:val="false"/>
                <w:i w:val="false"/>
                <w:color w:val="000000"/>
                <w:sz w:val="20"/>
              </w:rPr>
              <w:t>
Туздинский сельский округ</w:t>
            </w:r>
          </w:p>
          <w:bookmarkEnd w:id="3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5"/>
          <w:p>
            <w:pPr>
              <w:spacing w:after="20"/>
              <w:ind w:left="20"/>
              <w:jc w:val="both"/>
            </w:pPr>
            <w:r>
              <w:rPr>
                <w:rFonts w:ascii="Times New Roman"/>
                <w:b w:val="false"/>
                <w:i w:val="false"/>
                <w:color w:val="000000"/>
                <w:sz w:val="20"/>
              </w:rPr>
              <w:t>
Умуткерский сельский округ</w:t>
            </w:r>
          </w:p>
          <w:bookmarkEnd w:id="3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6"/>
          <w:p>
            <w:pPr>
              <w:spacing w:after="20"/>
              <w:ind w:left="20"/>
              <w:jc w:val="both"/>
            </w:pPr>
            <w:r>
              <w:rPr>
                <w:rFonts w:ascii="Times New Roman"/>
                <w:b w:val="false"/>
                <w:i w:val="false"/>
                <w:color w:val="000000"/>
                <w:sz w:val="20"/>
              </w:rPr>
              <w:t>
Уштобинский сельский округ</w:t>
            </w:r>
          </w:p>
          <w:bookmarkEnd w:id="3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7"/>
          <w:p>
            <w:pPr>
              <w:spacing w:after="20"/>
              <w:ind w:left="20"/>
              <w:jc w:val="both"/>
            </w:pPr>
            <w:r>
              <w:rPr>
                <w:rFonts w:ascii="Times New Roman"/>
                <w:b w:val="false"/>
                <w:i w:val="false"/>
                <w:color w:val="000000"/>
                <w:sz w:val="20"/>
              </w:rPr>
              <w:t>
Центральный сельский округ</w:t>
            </w:r>
          </w:p>
          <w:bookmarkEnd w:id="3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8"/>
          <w:p>
            <w:pPr>
              <w:spacing w:after="20"/>
              <w:ind w:left="20"/>
              <w:jc w:val="both"/>
            </w:pPr>
            <w:r>
              <w:rPr>
                <w:rFonts w:ascii="Times New Roman"/>
                <w:b w:val="false"/>
                <w:i w:val="false"/>
                <w:color w:val="000000"/>
                <w:sz w:val="20"/>
              </w:rPr>
              <w:t>
Шешенкаринский сельский округ</w:t>
            </w:r>
          </w:p>
          <w:bookmarkEnd w:id="3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9"/>
          <w:p>
            <w:pPr>
              <w:spacing w:after="20"/>
              <w:ind w:left="20"/>
              <w:jc w:val="both"/>
            </w:pPr>
            <w:r>
              <w:rPr>
                <w:rFonts w:ascii="Times New Roman"/>
                <w:b w:val="false"/>
                <w:i w:val="false"/>
                <w:color w:val="000000"/>
                <w:sz w:val="20"/>
              </w:rPr>
              <w:t>
Поселок Ботакара</w:t>
            </w:r>
          </w:p>
          <w:bookmarkEnd w:id="3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0"/>
          <w:p>
            <w:pPr>
              <w:spacing w:after="20"/>
              <w:ind w:left="20"/>
              <w:jc w:val="both"/>
            </w:pPr>
            <w:r>
              <w:rPr>
                <w:rFonts w:ascii="Times New Roman"/>
                <w:b w:val="false"/>
                <w:i w:val="false"/>
                <w:color w:val="000000"/>
                <w:sz w:val="20"/>
              </w:rPr>
              <w:t>
ИТОГО</w:t>
            </w:r>
          </w:p>
          <w:bookmarkEnd w:id="3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