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a941" w14:textId="3c5a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Каражалского региона и их использованию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XXIV сессии Каражалского городского маслихата Карагандинской области от 14 июня 2018 года № 219. Зарегистрировано Департаментом юстиции Карагандинской области 4 июля 2018 года № 4851.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(зарегистрированного в Реестре государственной регистрации нормативных правовых актов за № 15090),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</w:t>
      </w:r>
      <w:r>
        <w:rPr>
          <w:rFonts w:ascii="Times New Roman"/>
          <w:b w:val="false"/>
          <w:i w:val="false"/>
          <w:color w:val="000000"/>
          <w:sz w:val="28"/>
        </w:rPr>
        <w:t>по управлению пастбищами Каражалского региона и их использованию на 2018-2019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XXIV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2018 года № 219</w:t>
            </w:r>
            <w:r>
              <w:br/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Каражалского региона и их использованию на 2018-2019 годы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Каражал находится в центральной части Карагандинской области на землях Жанааркинского района в полупустынной и пустынной зонах вблизи северной границы Бетпак Дала.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Каражал - промышленный город областного подчинения, расположен в 300 км к юго-западу от областного и крупного промышленного центра - города Караганды и в 255 км восточнее города Жезказган.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входят три поселения: город Каражал, поселок Жайрем, поселок Шалгинск.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Каражалского региона составляет общую площадь 164600 гектар, из которых 156438 гектара пастбища. В настоящее время используется только 57918 гектара пастбищных угодий, что составляет 37 % от всей площади.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Каражал является одним из развитых городов в горнодобывающей сфере. Основным направлением развития экономики города является горнодобывающая и обрабатывающая промышленность. В регионе расположены два градообразующих предприятия акционерное общество "Жайремский горно-обоготительный комбинат" и Представительство "Оркен – Атасу" товарищества с ограниченной ответственностью "Оркен".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Животноводства является одним из основных направлений аграрного сектора экономики по обеспечению населения города продуктами питания.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вот растениеводство города Каражал практически не развито, плодоовощную продукцию выращивают на приусадебных участках для собственного потребления.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Многие семьи содержат скот, продукцию используют для своих нужд и для реализации. Поголовье скота составляет 1700 голов овец и коз (далее – МРС), 8953 голову крупно- рогатого (далее - КРС), 800 головы лошадей. Все поголовье скота пасутся на пастбище близ поселков. Если считать площадь используемых пастбищ по нормативам, установленным на каждую голову, то будет считаться, что скот пасли повторно в одном и том же месте. Это приводит к уменьшению трав и вытаптыванию копытами скота травостоя, что в свою очередь ведет к нарушению поверхностных слоев земли, то есть земля подвергается эрозии. Таких "вытоптанных" пастбищ в регионе сотни гектаров. Особенно, из-за тесноты пастбищ, земли, подверженные эрозии и лысые места (солончаковые) в основном, занимают земли населенных пунктов и в зонах водопоя. Поэтому, основной целью этого плана в дальнейшем, является сохранение экологического состояния окружающей среды,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 </w:t>
      </w: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пастбищ"(зарегистрированного в Реестре государственной регистрации нормативных правовых актов за № 11064), а также проведение анализа в соответствии с нормами, утвержденными в зависимости от вида скота, пастбищ в целом регионе, проведение работ в соответствии с требованиями нового Закона по восстановлению пастбищ района, по их коренному улучшению, сохранению, освоению целинных земель, их рациональному использованию. Кроме того, основным путем предотвращения эрозии является объединение скота населения сельских округов в зависимости от времени года и периода использования пастбищ содействие организации эффективного использования пастбищ, улучшение состояния скота и пастбищ. Закон направлен на улучшение инфраструктуры пастбищ в нашей стране, предотвращение деградации пастбищ и сохранение экологической целостности их экосистем. А также рассматривает вопросы повышения экологической чистой продукции животноводства.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Категории земель и их объемы в регионе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резкоконтинентальный с холодной зимой и жарким сухим летом. В течение года наблюдается активная ветровая деятельность. В зимнее время преобладают ветры восточного, северного и северо-восточного направлений, средние скорости ветра зимой составляют 3,4-5,7 м/с. Летом преобладают северные, северо-восточного и севера–западные ветры составляют 3,9-5,7 м/с. Сильные ветры отмечаются в течение всего года и вызывают пыльные бури летом, метели зимой.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территории предоставляют собой слабоволнистую равнину с участками мелкосопочника абсолютные отметки равнины составляют 400-500 метров, наивысшие отметки отдельных сглаженных форм рельефа-сопок, гряд, грив достигают 800 метров. Поверхность равнины расчленена долинами рек, временными водотоками. Уклон поверхности слабый и направлен в сторону долины реки Сарысу, в северной части на севера - запад, в южной на запад и юго-запад.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Гидрографическая сеть развита слабо и относится к бассейну реки Сарысу, которая протекает по северной границе территории, в нее впадают левобережные притоки Атасу, Талды-Манака и более мелкие. Река Атасу протекает в 20 километрах восточнее города Каражал, примерно в 70 километрах севернее города протекает река Сарысу. Графическую сеть рек дополняют мелкие реки Еспе, Байыр и другие, протекающие в 56 километрах с западной стороны от города. В южной части территории протекают мелкие водотоки Коктас, Атасу, Кенжебайсамай, а также множество временных водотоков, которые относятся к бессточному району. Территория города подземными водами обеспечена слабо и неравномерно.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долине реки Сарысу разведано Тузкольское месторождение подземных вод, за счет которого осуществляется хозяйственно-питьевое водоснабжение территории.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характерен для полупустынной и пустынной зон и предоставлен светлокаштановыми и бурыми почвами. Почвы отличаются низким качествам, широко распространены солонцеватые и солонцовые разности почв. В северо-западной части территории распространены песчаные почвы, которые при освоении легко подвергаются измельчению.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 сухостепной зоны характеризуется преобладанием засухоустойчивых многолетних, преимущественно дерновинных злаков-типчака, ковыля красного, ковыля красного, тырса, тырсика, встречаются полыни. В хозяйственном плане данная территория предоставляет собой обширные пастбищные угодья.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региона в связи с природным географическим положением делится на 3 категорий земель. Эти категории земель используются в соответствии с их целями. Если характеризовать в целом пастбища региона, то их производительность непостоянна, меняется из года в год в зависимости от количества дождя и снега. Урожайность травы может варьироваться от 1,8 до 3 центнеров с гектара, в зависимости от погодных условий года.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Рациональное использование пастбищ в районе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регионе расположены город и два поселка, в основном большинство животных содержатся на руках, в течение шести месяцев в год пасутся в окрестностях села, то есть скот не отдаляется от села на дистанцию больше 3-5 километров. Сейчас практически большая часть этих земель повреждена, изношена. Потому что во дворах населения содержатся более тысячи животных и скот крестьянских хозяйств, соответственно плотность скота в несколько раз превышает размер (норматив), действующий в этом регионе.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имеющихся в наличии 57918 гектаров пастбищных угодий практически 95,6 % применяются для выпаса скота. Большинство этих земель расположены вблизи города и поселков. На территории земель города Каражал основными составляющими рациона животных служат пастбищные корма, сено естественных лугов.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Проектируемая территория находится в пустынной и полупустынной зоне. Пустынная зона отличается от степной зоны почти полным отсутствием злаков и очень бедным разнотравьем. Основными видами здесь являются полыни и некоторые солянки. Растительность мелкосопочников достаточно разнообразна. Растительность мелкосопочников является пастбищами весенне-летне-осеннего сезона использования для мелкого рогатого скота и верблюдов.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Ранней весной повсюду можно встретить яркоокрашенные тюльпаны, шаир, отдельные экземпляры тырсика, саксаулов черного и белого.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понижениях между песками появляются саксаул черный, шенгил серебристый, гребенщик многоветвистый и другие.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возвышенностях среди растительных сообществ выделены следующие комплексы: полынь серая, ковыль, калтык, мятлик, таволга, караган.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Значительная часть пастбища закустарена караганом. Кустарники играют положительную роль при снегозадержании, улучшается водный режим почвы и значительно повышается урожайность пастбищ.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время, из-за несоблюдения порядка использования пастбищ и выпаса большого количества скота, из-за не ухоженности, фонд кормовых растений из года в год уменьшается. В целом, на научно-обоснованной практике для сохранения продуктивности пастбищ на долгие годы, пользователям пастбищ необходимо учитывать три основных требования: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пастбищном участке соблюдать нормы количества скота;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использования пастбищ 30-40 процентов валового продукта должны быть сохранены.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выпаса скота на пастбище, растения должны быть высотой 4-5 сантиметра. Потому что скот съедает практически все листья растений, к зиме в их фонде остается меньше питательных веществ. Иногда зимой обмораживаются, а выжившие, хотя и расцветают весной, имеют травянистость низкого качества.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Строгое соблюдение сроков выпаса скота. Выпас скота весной необходимо начинать через 10-12 дней после того, как многие многолетние травы начнут ворситься (семейства зерновых), а другие обрастать ветвями (частично кустарники).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этих правил ведет к резкому снижению продукции пастбищ в следующем году. Но, тем не менее, известно, что травянистость пастбищ в течение года может меняться по разным причинам.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Сегодня, коренным образом изменился геоботанический состав растительности сенокосных угодий и пастбищ в целом. Такая ситуация требует проведения других агротехнических мероприятий и мелиорации земель. Способ, требующий восстановления роста травы, переменных пастбищ для изношенных пастбищ следует вести на научной основе.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регионе имеется одна ветеринарная станция, которая полностью укомплектованы специалистами ветеринарами, оборудованием (компьютеры, холодильники, необходимые инструменты). Перед выгоном на выпас скота сельских округов в полном объҰме выполняются запланированные ежегодные противоэпизоотические мероприятия, работы по ветеринарной профилактической прививке, аллергические и серологические проверочные работы. Небрежное содержание скота, отсутствие контроля при случке, при окоте скота, отсутствие контроля за здоровьем скота, нарушение правил объединения, группировки скота и другие нарушения приводят к распространению инфекции среди животных. Поэтому при использовании пастбищ и содержании скота необходимо строго соблюдать ветеринарно-санитарные и зоогигиенические правила. В местах возникновения заболевания должны быть проведены работы по вакцинации животных, дезинфекции, дератизации. Из-за близкого расположения поселков на территории региона имеется один скотомогильник, расположенный в городе Каражал, в котором уничтожаются трупы больных животных со всего региона, в том числе посредством сжигания в инсинуаторе. Требуется строительство типового скотомогильника в поселке Жайрем.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сезонной эксплуатации пастбищ населенных пунктов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регионе три населенных пункта. На сегодняшний день площадь всех земель 164600 гектаров, из которых 156438 гектаров пастбища. Этих пастбищ в расчете на соответствующее количество каждого скота частных подворий в населенных пунктах не достаточно.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Разработка схемы обращения пастбища в целях эффективного использования отдаленных пастбищ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пастбищеоборотов разрабатываются на основании геоботанического обследования пастбищ.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различных природных зон и типов пастбищ разрабатываются соответствующие схемы пастбищеоборота.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Существуют две системы использования пастбищ пригонная и отгонная. Первая возможна в том случае, если пастбища расположены на расстоянии до 3 километров от скотного двора, вторая при большой удаленности пастбищ.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плане приведена система пригонного использования пастбищ.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Дойные гурты КРС и МРС выпасаются на пригонной основе.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водопоев. Весной при сочной траве животных необходимо поить до 3-4 раз, а летом в жару – до 7-8 раз. Лучшие водопои - чистые реки, ручьи, пруды с проточной свежей водой. Водопои с загрязненной, застойной водой для скота непригодны, так как могут вызвать заболевания животных, особенно глистные.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прогонов. Прогоны устроены достаточной ширины, чтобы скот не теснился и не скучивался. Ширина прогонов на 100 КРС 20-25 метров, молодняка до одного года 10-15 метров, табуна лошадей 15-20 метров, для отары овец 500-600 голов 30-35 метров.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Заключение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животноводческой отрасли в стране связаны в первую очередь с постоянным налаживанием кормовой базы и его укреплением. Основным составом кормов скота является травянистость пастбищ. В соответствии с требованиями Закона организация эффективного использования земель в районе, требует нескольких мероприятий в системе управления, планирования. Сегодня вопросы рационального и устойчивого управления пастбищными ресурсами актуальны. О необходимости возрождения отечественного животноводства, с учетом исторически сложившихся традиций, а также научно-технического управления отметил Глава государства в Стратегии "Казахстан-2050".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плане предусмотрены конкретные меры, регулирующие аккуратное использование природных пастбищ для развития животноводства в районе. Если в регионе наладить эффективное использование пастбищных угодий, можно повысить поголовье скота, производимого им молока, мяса и других продуктов.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региона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  <w:r>
              <w:br/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земель Каражалского региона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3480"/>
        <w:gridCol w:w="3800"/>
        <w:gridCol w:w="3800"/>
      </w:tblGrid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1"/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сельскохозяйственного назначения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60538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промышленности, транспорта, связи и иного несельскохозяйственного назначения 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89807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региона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  <w:r>
              <w:br/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Состояние использования пастбищ в регионе в настоящее время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781"/>
        <w:gridCol w:w="3479"/>
        <w:gridCol w:w="3479"/>
        <w:gridCol w:w="3480"/>
      </w:tblGrid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6"/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3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эксплуатации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59983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57825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60588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57918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региона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  <w:r>
              <w:br/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 в регионе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9"/>
        <w:gridCol w:w="1631"/>
        <w:gridCol w:w="2259"/>
        <w:gridCol w:w="2259"/>
        <w:gridCol w:w="2260"/>
        <w:gridCol w:w="1632"/>
      </w:tblGrid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1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Скотомогиль-ники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Откормочные площадки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Шалгинск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региона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  <w:r>
              <w:br/>
            </w:r>
          </w:p>
        </w:tc>
      </w:tr>
    </w:tbl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Обеспеченность пастбищами скота жителей города и поселков Каражалского региона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686"/>
        <w:gridCol w:w="749"/>
        <w:gridCol w:w="1826"/>
        <w:gridCol w:w="1450"/>
        <w:gridCol w:w="2208"/>
        <w:gridCol w:w="2209"/>
        <w:gridCol w:w="2463"/>
      </w:tblGrid>
      <w:tr>
        <w:trPr>
          <w:trHeight w:val="3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6"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Разновид-ность скота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пастбища в перерасчете на зеленый корм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расположенных у поселков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Охват, +,-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голову, кг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Жайрем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Шалгинск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региона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  <w:r>
              <w:br/>
            </w:r>
          </w:p>
        </w:tc>
      </w:tr>
    </w:tbl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региона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  <w:r>
              <w:br/>
            </w:r>
          </w:p>
        </w:tc>
      </w:tr>
    </w:tbl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