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92e8" w14:textId="c6c9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на территории Карагандинской области для размещения магистрального газопровода "САРЫ-АРКА"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мая 2018 года № 23/02. Зарегистрировано Департаментом юстиции Карагандинской области 4 июня 2018 года № 4800.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июня 2012 года "</w:t>
      </w:r>
      <w:r>
        <w:rPr>
          <w:rFonts w:ascii="Times New Roman"/>
          <w:b w:val="false"/>
          <w:i w:val="false"/>
          <w:color w:val="000000"/>
          <w:sz w:val="28"/>
        </w:rPr>
        <w:t>О магистральном трубопроводе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четыре года, без изъятия земельных участков у собственников и землепользователей, для размещения магистрального газопровода "САРЫ-АРКА",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"АстанаГаз КМГ" (по согласованию)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02.05.2019 № 27/02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Карагандинской области" в порядке, установленном законодательными актами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настоящего постановления на официальное опубликование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Карагандинской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внутренней политики Карагандинской области" в порядке, установленном законодательными актами Республики Казахстан, обеспечить направление настоящего постановления на официальное опубликование в периодических печатных изданиях, распространяемых на территории Карагандинской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Карагандинской области Шайдарова С. Ж.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844"/>
        <w:gridCol w:w="8710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1381,8265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867,3929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434,2266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346,9562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176,0310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3236,6332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