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e031" w14:textId="bb0e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Таласского района</w:t>
      </w:r>
    </w:p>
    <w:p>
      <w:pPr>
        <w:spacing w:after="0"/>
        <w:ind w:left="0"/>
        <w:jc w:val="both"/>
      </w:pPr>
      <w:r>
        <w:rPr>
          <w:rFonts w:ascii="Times New Roman"/>
          <w:b w:val="false"/>
          <w:i w:val="false"/>
          <w:color w:val="000000"/>
          <w:sz w:val="28"/>
        </w:rPr>
        <w:t>Решение Таласского районного маслихата Жамбылской области от 23 ноября 2018 года № 43-6. Зарегистрировано Департаментом юстиции Жамбылской области 28 ноября 2018 года № 3991</w:t>
      </w:r>
    </w:p>
    <w:p>
      <w:pPr>
        <w:spacing w:after="0"/>
        <w:ind w:left="0"/>
        <w:jc w:val="both"/>
      </w:pPr>
      <w:bookmarkStart w:name="z5" w:id="0"/>
      <w:r>
        <w:rPr>
          <w:rFonts w:ascii="Times New Roman"/>
          <w:b w:val="false"/>
          <w:i w:val="false"/>
          <w:color w:val="ff0000"/>
          <w:sz w:val="28"/>
        </w:rPr>
        <w:t>
       Примечание РЦПИ.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w:t>
      </w:r>
      <w:r>
        <w:rPr>
          <w:rFonts w:ascii="Times New Roman"/>
          <w:b w:val="false"/>
          <w:i w:val="false"/>
          <w:color w:val="000000"/>
          <w:sz w:val="28"/>
        </w:rPr>
        <w:t>№ 15630</w:t>
      </w:r>
      <w:r>
        <w:rPr>
          <w:rFonts w:ascii="Times New Roman"/>
          <w:b w:val="false"/>
          <w:i w:val="false"/>
          <w:color w:val="000000"/>
          <w:sz w:val="28"/>
        </w:rPr>
        <w:t xml:space="preserve">), Таласский районный маслихат </w:t>
      </w:r>
      <w:r>
        <w:rPr>
          <w:rFonts w:ascii="Times New Roman"/>
          <w:b/>
          <w:i w:val="false"/>
          <w:color w:val="000000"/>
          <w:sz w:val="28"/>
        </w:rPr>
        <w:t>РЕШИЛ:</w:t>
      </w:r>
    </w:p>
    <w:bookmarkEnd w:id="1"/>
    <w:bookmarkStart w:name="z8"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Таласского района.</w:t>
      </w:r>
    </w:p>
    <w:bookmarkEnd w:id="2"/>
    <w:bookmarkStart w:name="z9" w:id="3"/>
    <w:p>
      <w:pPr>
        <w:spacing w:after="0"/>
        <w:ind w:left="0"/>
        <w:jc w:val="both"/>
      </w:pPr>
      <w:r>
        <w:rPr>
          <w:rFonts w:ascii="Times New Roman"/>
          <w:b w:val="false"/>
          <w:i w:val="false"/>
          <w:color w:val="000000"/>
          <w:sz w:val="28"/>
        </w:rPr>
        <w:t>
      2. Контроль за исполнением данного решения и публикацию его в интернет – ресурсах районного маслихата возложить на постоянную комиссию районного маслихата шестого созыва по вопросам социально-экономического развития района, по бюджету, местным налогам и вопросам городского хозяйства.</w:t>
      </w:r>
    </w:p>
    <w:bookmarkEnd w:id="3"/>
    <w:bookmarkStart w:name="z10"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для города районного значения, сельского округа с численностью населения более двух тысяч человек со дня официального опубликования, для сельских округов и сел с численностью населения две тысячи и менее человек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Сейдалиев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Таласского районного маслихата</w:t>
            </w:r>
            <w:r>
              <w:br/>
            </w:r>
            <w:r>
              <w:rPr>
                <w:rFonts w:ascii="Times New Roman"/>
                <w:b w:val="false"/>
                <w:i w:val="false"/>
                <w:color w:val="000000"/>
                <w:sz w:val="20"/>
              </w:rPr>
              <w:t>от 23 ноября 2018 года №43-2</w:t>
            </w:r>
          </w:p>
        </w:tc>
      </w:tr>
    </w:tbl>
    <w:bookmarkStart w:name="z27" w:id="5"/>
    <w:p>
      <w:pPr>
        <w:spacing w:after="0"/>
        <w:ind w:left="0"/>
        <w:jc w:val="left"/>
      </w:pPr>
      <w:r>
        <w:rPr>
          <w:rFonts w:ascii="Times New Roman"/>
          <w:b/>
          <w:i w:val="false"/>
          <w:color w:val="000000"/>
        </w:rPr>
        <w:t xml:space="preserve"> Регламент собрания местного сообщества сельских округов Таласского района</w:t>
      </w:r>
    </w:p>
    <w:bookmarkEnd w:id="5"/>
    <w:bookmarkStart w:name="z28"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ff0000"/>
          <w:sz w:val="28"/>
        </w:rPr>
        <w:t xml:space="preserve">
      Сноска. Регламент – в редакции решения Таласского района Жамбылской области от 28.12.2021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7"/>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Таласского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О внесении изменений и дополнений в приказ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w:t>
      </w:r>
    </w:p>
    <w:bookmarkStart w:name="z18"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9"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 территориальной единицы, в границах которой осуществляется местное самоуправление, формируются и функционируют его органы;</w:t>
      </w:r>
    </w:p>
    <w:bookmarkEnd w:id="9"/>
    <w:bookmarkStart w:name="z20"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21" w:id="11"/>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территориальной единицы;</w:t>
      </w:r>
    </w:p>
    <w:bookmarkEnd w:id="11"/>
    <w:bookmarkStart w:name="z22"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3"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неосвоения бюджетных средств в течение текущего финансового года и (или) перераспределения между бюджетными программами по итогам бюджетного мониторинга в объеме, не превышающем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согласование решений аппарата акима города районного значения, села, поселка, сельского округа по управлению коммунальной собственностью (коммунальной собственностью местного самоуправления)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создание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а также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согласование кандидатур, представленных акимом района (города областного значения) на должность акима города районного значения, села, поселка, сельского округа для дальнейшего внесения в соответствующую районную (городскую) избирательную комиссию для регистрации кандидатом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допущенных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направленных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both"/>
      </w:pPr>
      <w:r>
        <w:rPr>
          <w:rFonts w:ascii="Times New Roman"/>
          <w:b w:val="false"/>
          <w:i w:val="false"/>
          <w:color w:val="000000"/>
          <w:sz w:val="28"/>
        </w:rPr>
        <w:t>
      2) 10-15 тыс. населения-11-15 членов собрания;</w:t>
      </w:r>
    </w:p>
    <w:p>
      <w:pPr>
        <w:spacing w:after="0"/>
        <w:ind w:left="0"/>
        <w:jc w:val="both"/>
      </w:pPr>
      <w:r>
        <w:rPr>
          <w:rFonts w:ascii="Times New Roman"/>
          <w:b w:val="false"/>
          <w:i w:val="false"/>
          <w:color w:val="000000"/>
          <w:sz w:val="28"/>
        </w:rPr>
        <w:t>
      3) 15-20 тыс. населения-16-20 членов собрания;</w:t>
      </w:r>
    </w:p>
    <w:p>
      <w:pPr>
        <w:spacing w:after="0"/>
        <w:ind w:left="0"/>
        <w:jc w:val="both"/>
      </w:pPr>
      <w:r>
        <w:rPr>
          <w:rFonts w:ascii="Times New Roman"/>
          <w:b w:val="false"/>
          <w:i w:val="false"/>
          <w:color w:val="000000"/>
          <w:sz w:val="28"/>
        </w:rPr>
        <w:t>
      4) более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направленного раздельными сходами местного сообщества с учетом положений пункта 3-2 настоящего Типового регламента.</w:t>
      </w:r>
    </w:p>
    <w:p>
      <w:pPr>
        <w:spacing w:after="0"/>
        <w:ind w:left="0"/>
        <w:jc w:val="both"/>
      </w:pPr>
      <w:r>
        <w:rPr>
          <w:rFonts w:ascii="Times New Roman"/>
          <w:b w:val="false"/>
          <w:i w:val="false"/>
          <w:color w:val="000000"/>
          <w:sz w:val="28"/>
        </w:rPr>
        <w:t>
      4. Собрание созывается и проводится акимами города районного значения, села, поселка,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Аппарат акима по вопросам, вносимым на рассмотрение собрания, представляет необходимые материалы в письменном виде, в форме электронного документа (удостоверенного посредством электронной цифровой подписи) или электронную копию документов членам собрания и акиму не позднее, чем за пять календарных дней до созыва собрания.</w:t>
      </w:r>
    </w:p>
    <w:p>
      <w:pPr>
        <w:spacing w:after="0"/>
        <w:ind w:left="0"/>
        <w:jc w:val="both"/>
      </w:pPr>
      <w:r>
        <w:rPr>
          <w:rFonts w:ascii="Times New Roman"/>
          <w:b w:val="false"/>
          <w:i w:val="false"/>
          <w:color w:val="000000"/>
          <w:sz w:val="28"/>
        </w:rPr>
        <w:t>
      6.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7.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8. Повестка дня собрания формируется аппаратом акима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9. На созыв собрания могут быть приглашены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10.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передается акиму сельского округа в течение двух рабочих дней со дня проведения собрания,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решаются путем повторного обсуждения в порядке, предусмотренном главой 2 настоящего Типового регламента. В случае невозможности разрешения вопросов, вызвавших несогласие акима сельского округа, вопрос решается вышестоящим акимом.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разногласия. В течение пяти рабочих дней после предварительного обсуждения на ближайшем заседании соответствующего маслихата района (города областного значения) и его решения в порядке, предусмотренном статьей 11 Закона, решение принимает вышестоящий аким.</w:t>
      </w:r>
    </w:p>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города районного значения, села, сельского округа.</w:t>
      </w:r>
    </w:p>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Таласского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Таласского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