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3ab8" w14:textId="0b1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Кегенском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ноября 2018 года № 9-33. Зарегистрировано Департаментом юстиции Алматинской области 29 ноября 2018 года № 4903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-возмещение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программ" Кегенского района;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получатель);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дому, по форме согласно приложению 2 к Стандарту;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первоначального назначения возмещение затрат на обучение выплачивается со дня обращения.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заявления и выдача результата оказания государственной услуги осуществляются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при назначении возмещения затрат на обучение на дому детей инвалидов, а также получении информации о назначении возмещения затрат на обучение на дому детей инвалидов.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маслихата"По вопросам средств массовой информации, работы с общественными объединениями, права, социально-культурного развития".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