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28eb" w14:textId="8902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Хромтауского района</w:t>
      </w:r>
    </w:p>
    <w:p>
      <w:pPr>
        <w:spacing w:after="0"/>
        <w:ind w:left="0"/>
        <w:jc w:val="both"/>
      </w:pPr>
      <w:r>
        <w:rPr>
          <w:rFonts w:ascii="Times New Roman"/>
          <w:b w:val="false"/>
          <w:i w:val="false"/>
          <w:color w:val="000000"/>
          <w:sz w:val="28"/>
        </w:rPr>
        <w:t>Решение Хромтауского районного маслихата Актюбинской области от 30 мая 2018 года № 213. Зарегистрировано Управлением юстиции Хромтауского района Департамента юстиции Актюбинской области 13 июня 2018 года № 3-12-174</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и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Хромтауский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Хромтауского районного маслихата Актюбинской области от 05.11.2021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Хромтауского района.</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Хромтауского районного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Хромтауского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 – ресурсе Хромтауского районного маслихата.</w:t>
      </w:r>
    </w:p>
    <w:bookmarkStart w:name="z3" w:id="3"/>
    <w:p>
      <w:pPr>
        <w:spacing w:after="0"/>
        <w:ind w:left="0"/>
        <w:jc w:val="both"/>
      </w:pPr>
      <w:r>
        <w:rPr>
          <w:rFonts w:ascii="Times New Roman"/>
          <w:b w:val="false"/>
          <w:i w:val="false"/>
          <w:color w:val="000000"/>
          <w:sz w:val="28"/>
        </w:rPr>
        <w:t>
      3. Настоящее решение вводится в действие для города районного значения,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Шипилова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Хромтауского районного маслихата от 30 мая 2018 года № 213</w:t>
            </w:r>
          </w:p>
        </w:tc>
      </w:tr>
    </w:tbl>
    <w:p>
      <w:pPr>
        <w:spacing w:after="0"/>
        <w:ind w:left="0"/>
        <w:jc w:val="left"/>
      </w:pPr>
      <w:r>
        <w:rPr>
          <w:rFonts w:ascii="Times New Roman"/>
          <w:b/>
          <w:i w:val="false"/>
          <w:color w:val="000000"/>
        </w:rPr>
        <w:t xml:space="preserve"> Регламент собрания местного сообщества Хромтауского района</w:t>
      </w:r>
    </w:p>
    <w:p>
      <w:pPr>
        <w:spacing w:after="0"/>
        <w:ind w:left="0"/>
        <w:jc w:val="both"/>
      </w:pPr>
      <w:r>
        <w:rPr>
          <w:rFonts w:ascii="Times New Roman"/>
          <w:b w:val="false"/>
          <w:i w:val="false"/>
          <w:color w:val="ff0000"/>
          <w:sz w:val="28"/>
        </w:rPr>
        <w:t xml:space="preserve">
      Сноска. Приложение – в редакции решения Хромтауского районного маслихата Актюбинской области от 27.07.2023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Настоящий Типовой регламент собрания местного сообщества Хромтауского района (далее – Типовой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p>
      <w:pPr>
        <w:spacing w:after="0"/>
        <w:ind w:left="0"/>
        <w:jc w:val="both"/>
      </w:pPr>
      <w:r>
        <w:rPr>
          <w:rFonts w:ascii="Times New Roman"/>
          <w:b w:val="false"/>
          <w:i w:val="false"/>
          <w:color w:val="000000"/>
          <w:sz w:val="28"/>
        </w:rPr>
        <w:t>
      2. Основные понятия, которые используются в настоящем Типовом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сельского округа,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Регламент собрания утверждается маслихатом района (города областного значения).</w:t>
      </w:r>
    </w:p>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Количество членов собрания местного сообщества Хромтауского района от 21 до 25 человек.</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сельского округа по управлению коммунальной собственностью города районного значения, села,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Хромтауский районный маслихат.</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Типового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