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4e55" w14:textId="f254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20 ноября 2017 года № 180 "Об определении размера и порядка оказания жилищной помощи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декабря 2018 года № 287. Зарегистрировано Управлением юстиции Каргалинского района Департамента юстиции Актюбинской области 14 декабря 2018 года № 3-6-180. Утратило силу решением Каргалинского районного маслихата Актюбинской области от 13 июля 2020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20 ноября 2017 года № 180 "Об определении размера и порядка оказания жилищной помощи в Каргалинском районе" (зарегистрированное в реестре государственной регистрации нормативных правовых актов № 5751, опубликованное 4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(зарегистрировано в Реестре государственной регистрации нормативных правовых актов № 11015)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Каргалинского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Каргалинском районе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Каргалинском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приватизированного жилья или нанимателям (поднанимателям)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"Каргалинский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человека. Для одиноко проживающим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- 140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и более - 210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проживающим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проживающим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утвержденный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