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a45b" w14:textId="a9fa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городу Актобе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13 декабря 2018 года № 7296. Зарегистрировано Управлением юстиции района "Астана" города Актобе Департамента юстиции Актюбинской области 21 декабря 2018 года № 3-1-224.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 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