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7fff" w14:textId="d167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апреля 2018 года № 283. Зарегистрировано Департаментом юстиции Актюбинской области 25 апреля 2018 года № 5912.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за № 16299,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государственного учреждения "Аппарат Актюбинского областного маслихата".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18 февраля 2016 года № 391 "Об утверждении методики оценки деятельности административных государственных служащих корпуса "Б" государственного учреждения "Аппарат Актюбинского областного маслихата" (зарегистрированное в Реестре государственной регистрации нормативных правовых актов за № 4820, опубликованное 1 апреля 2016 года в информационно-правовой системе "Әділет");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 марта 2017 года № 121 "О внесении изменений в решение областного маслихата от 18 февраля 2016 года № 391 "Об утверждении методики оценки деятельности административных государственных служащих корпуса "Б" государственного учреждения "Аппарат Актюбинского областного маслихата" (зарегистрированное в Реестре государственной регистрации нормативных правовых актов за № 5357, опубликованное 8 и 10 апреля 2017 года в газетах "Актюбинский вестник" и "Ақтөбе" соответственно).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Актюбинского областного маслихата от 27.08.2025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Актюбинского областного маслихата".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утверждается областным маслихатом на основе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 учетом специфики деятельности Аппарата Актюбинского областного маслихата.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D-1, D-3 (руководитель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