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4beb" w14:textId="766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февраля 2018 года № 6С-25/3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октября 2018 года № 6С-33/3. Зарегистрировано Департаментом юстиции Акмолинской области 30 октября 2018 года № 6819. Утратило силу решением Бурабайского районного маслихата Акмолинской области от 25 января 2019 года № 6С-38/6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6С-38/6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28 февраля 2018 года № 6С-25/3 (зарегистрировано в Реестре государственной регистрации нормативных правовых актов № 6476, опубликовано 29 марта 2018 года в районных газетах "Бурабай" и "Стабильная газета")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31 мая – День памяти жертв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(гражданам) в силу определенных обстоятельств, нуждающихся в экстренной социальной поддержке, при обращении не позднее 3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стационара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помощь студентам из числа малообеспеченных и социально-уязвимых слоев населения (семей), обучающимся на очной форме обучения в колледжах на платной основе на оплату за учебу один раз в год в размере 100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участникам боевых действий в Афганистане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единовременное пособие на погребение умерших участников боевых действий в Афганистане, не имеющих инвалидности в размере 15 месячных расчетных показателей.".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ХХXІІІ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