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53428" w14:textId="0c53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Белое озеро Петровского сельского округа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Петровского сельского округа Шортандинского района Акмолинской области от 1 октября 2018 года № 10. Зарегистрировано Департаментом юстиции Акмолинской области 5 октября 2018 года № 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по представлению главного государственного ветеринарно-санитарного инспектора от 23 августа 2018 года № 01-47-332, аким Петровского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территории села Белое озеро Петровского сельского округа Шортандинского района по бруцеллезу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Петровского сельского округа Шортандинского района Акмолинской области "Об установлении ограничительных мероприятий на территории села Белое озеро Петровского сельского округа Шортандинского района" от 25 апреля 2018 года № 7 (зарегистрировано в Реестре государственной регистрации нормативных правовых актов № 6587, опубликовано 14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Петровского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В.Шимков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