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99d0" w14:textId="8e29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2017 года № 6С-17/1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апреля 2018 года № 6С-22/1. Зарегистрировано Департаментом юстиции Акмолинской области 25 апреля 2018 года № 6575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2018-2020 годы" от 22 декабря 2017 года № 6С-17/1 (зарегистрировано в Реестре государственной регистрации нормативных правовых актов № 6322,)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3674560,0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2996041,0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3690040,0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7153,3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- 22633,3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22633,3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трансферты в сумме 236271,0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областного бюджета в сумме 30721,0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30721,0 тысяча тенге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50936,0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12316,0 тысяч тенге на развитие рынка труда, в том числе: 10211,0 тысяч тенге на частичное субсидирование заработной платы и молодежную практику, 2105,0 тысяч тенге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275,0 тысяч тенге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1709,0 тысяч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6380,0 тысяч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9084,0 тысячи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15001,0 тысяча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1727,0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3303,0 тысячи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154614,0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14281,0 тысяча тенге на приобретение школьных автобусов для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43000,0 тысячи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33679,0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2400,0 тысяч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10459,0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50795,0 тысяч тенге на развитие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районном бюджете на 2018 год предусмотрено погашение бюджетных кредитов в областной бюджет в сумме 3669,7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22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6С-17/1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