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acfa" w14:textId="bff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марта 2018 года № С-19/6. Зарегистрировано Департаментом юстиции Акмолинской области 3 апреля 2018 года № 6500. Утратило силу решением Кокшетауского городского маслихата Акмолинской области от 2021 года 6 мая № С-6/10.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Кокшетауского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Кокшетауского городского маслихата"" от 1 марта 2017 года № С-8/3 (зарегистрировано в Реестре государственной регистрации нормативных правовых актов № 5856, опубликовано 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созыва,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19-ой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Кокшетауского городского маслихата" (далее – аппарат городского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(зарегистрировано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организационно-контрольный отдел аппарата городского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городского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городского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организационно-контрольного отдела аппарата городского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главный специалист организационно-контрольного отдела аппарата городского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организационно-контрольного отдела аппарата городского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организационно-контрольного отдела аппарата городского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организационно-контрольного отдела аппарата городского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организационно-контрольного отдела аппарата городского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организационно-контрольного отдела городского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организационно-контрольного отдела аппарата городского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организационно-контрольного отдела аппарата городского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