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7fb7" w14:textId="7a27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признания действий субъекта рынка ценных бумаг и иных лиц как совершенных в целях манипулирования на рынке ценных бумаг, Правил создания и работы экспертного комитета, а также его количественного состава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декабря 2018 года № 319. Зарегистрировано в Министерстве юстиции Республики Казахстан 11 января 2019 года № 18169.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84" w:id="2"/>
    <w:p>
      <w:pPr>
        <w:spacing w:after="0"/>
        <w:ind w:left="0"/>
        <w:jc w:val="both"/>
      </w:pPr>
      <w:r>
        <w:rPr>
          <w:rFonts w:ascii="Times New Roman"/>
          <w:b w:val="false"/>
          <w:i w:val="false"/>
          <w:color w:val="000000"/>
          <w:sz w:val="28"/>
        </w:rPr>
        <w:t xml:space="preserve">
      1) Правила и условия признания действий субъекта рынка ценных бумаг и иных лиц как совершенных в целях манипулирования на рынке ценных бумаг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5" w:id="3"/>
    <w:p>
      <w:pPr>
        <w:spacing w:after="0"/>
        <w:ind w:left="0"/>
        <w:jc w:val="both"/>
      </w:pPr>
      <w:r>
        <w:rPr>
          <w:rFonts w:ascii="Times New Roman"/>
          <w:b w:val="false"/>
          <w:i w:val="false"/>
          <w:color w:val="000000"/>
          <w:sz w:val="28"/>
        </w:rPr>
        <w:t xml:space="preserve">
      2) Правила создания и работы экспертного комитета, а также его количественный состав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3"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4"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15" w:id="12"/>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3"/>
    <w:p>
      <w:pPr>
        <w:spacing w:after="0"/>
        <w:ind w:left="0"/>
        <w:jc w:val="left"/>
      </w:pPr>
      <w:r>
        <w:rPr>
          <w:rFonts w:ascii="Times New Roman"/>
          <w:b/>
          <w:i w:val="false"/>
          <w:color w:val="000000"/>
        </w:rPr>
        <w:t xml:space="preserve"> Правила и условия признания действий субъекта рынка ценных бумаг и иных лиц как совершенных в целях манипулирования на рынке ценных бумаг</w:t>
      </w:r>
    </w:p>
    <w:bookmarkEnd w:id="13"/>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4"/>
    <w:p>
      <w:pPr>
        <w:spacing w:after="0"/>
        <w:ind w:left="0"/>
        <w:jc w:val="left"/>
      </w:pPr>
      <w:r>
        <w:rPr>
          <w:rFonts w:ascii="Times New Roman"/>
          <w:b/>
          <w:i w:val="false"/>
          <w:color w:val="000000"/>
        </w:rPr>
        <w:t xml:space="preserve"> Глава 1. Общие положения</w:t>
      </w:r>
    </w:p>
    <w:bookmarkEnd w:id="14"/>
    <w:bookmarkStart w:name="z88" w:id="15"/>
    <w:p>
      <w:pPr>
        <w:spacing w:after="0"/>
        <w:ind w:left="0"/>
        <w:jc w:val="both"/>
      </w:pPr>
      <w:r>
        <w:rPr>
          <w:rFonts w:ascii="Times New Roman"/>
          <w:b w:val="false"/>
          <w:i w:val="false"/>
          <w:color w:val="000000"/>
          <w:sz w:val="28"/>
        </w:rPr>
        <w:t xml:space="preserve">
      1. Настоящие Правила и условия признания действий субъекта рынка ценных бумаг и иных лиц как совершенных в целях манипулирования на рынке ценных бумаг (далее – Правила) разработаны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 рынке ценных бумаг" и устанавливают порядок и условия признания действий субъекта рынка ценных бумаг и иных лиц как совершенных в целях манипулирования на рынке ценных бумаг.</w:t>
      </w:r>
    </w:p>
    <w:bookmarkEnd w:id="15"/>
    <w:bookmarkStart w:name="z89" w:id="16"/>
    <w:p>
      <w:pPr>
        <w:spacing w:after="0"/>
        <w:ind w:left="0"/>
        <w:jc w:val="both"/>
      </w:pPr>
      <w:r>
        <w:rPr>
          <w:rFonts w:ascii="Times New Roman"/>
          <w:b w:val="false"/>
          <w:i w:val="false"/>
          <w:color w:val="000000"/>
          <w:sz w:val="28"/>
        </w:rPr>
        <w:t>
      2. Мониторингу и анализу на предмет выявления манипулирования на рынке ценных бумаг подлежат действия субъекта рынка ценных бумаг и иных лиц (включая заключение сделок и объявление заявок в торговой системе фондовой биржи, распространение информации) в отношении ценных бумаг и (или) производных финансовых инструментов, обращающихся на площадках фондовой биржи, создание и функционирование которых регламентируется внутренними документами биржи.</w:t>
      </w:r>
    </w:p>
    <w:bookmarkEnd w:id="16"/>
    <w:bookmarkStart w:name="z90" w:id="17"/>
    <w:p>
      <w:pPr>
        <w:spacing w:after="0"/>
        <w:ind w:left="0"/>
        <w:jc w:val="left"/>
      </w:pPr>
      <w:r>
        <w:rPr>
          <w:rFonts w:ascii="Times New Roman"/>
          <w:b/>
          <w:i w:val="false"/>
          <w:color w:val="000000"/>
        </w:rPr>
        <w:t xml:space="preserve"> Глава 2. Порядок и условия признания действий субъекта рынка ценных бумаг и иных лиц как совершенных в целях манипулирования на рынке ценных бумаг</w:t>
      </w:r>
    </w:p>
    <w:bookmarkEnd w:id="17"/>
    <w:bookmarkStart w:name="z91" w:id="18"/>
    <w:p>
      <w:pPr>
        <w:spacing w:after="0"/>
        <w:ind w:left="0"/>
        <w:jc w:val="both"/>
      </w:pPr>
      <w:r>
        <w:rPr>
          <w:rFonts w:ascii="Times New Roman"/>
          <w:b w:val="false"/>
          <w:i w:val="false"/>
          <w:color w:val="000000"/>
          <w:sz w:val="28"/>
        </w:rPr>
        <w:t xml:space="preserve">
      3. Мониторингу и анализу на предмет выявления действий субъекта рынка ценных бумаг и иных лиц как совершенных в целях манипулирования на рынке ценных бумаг подлежат следующие действия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Правил):</w:t>
      </w:r>
    </w:p>
    <w:bookmarkEnd w:id="18"/>
    <w:bookmarkStart w:name="z92" w:id="19"/>
    <w:p>
      <w:pPr>
        <w:spacing w:after="0"/>
        <w:ind w:left="0"/>
        <w:jc w:val="both"/>
      </w:pPr>
      <w:r>
        <w:rPr>
          <w:rFonts w:ascii="Times New Roman"/>
          <w:b w:val="false"/>
          <w:i w:val="false"/>
          <w:color w:val="000000"/>
          <w:sz w:val="28"/>
        </w:rPr>
        <w:t>
      1) заключение сделки на организованном рынке ценных бумаг на основании встречных приказов (заказов) на продажу и приобретение ценных бумаг одного выпуска, поданных одним клиентом через двух или более брокеров, которое повлияло на существенное изменение цены, спроса, предложения или объема торгов по данным ценным бумагам;</w:t>
      </w:r>
    </w:p>
    <w:bookmarkEnd w:id="19"/>
    <w:bookmarkStart w:name="z93" w:id="20"/>
    <w:p>
      <w:pPr>
        <w:spacing w:after="0"/>
        <w:ind w:left="0"/>
        <w:jc w:val="both"/>
      </w:pPr>
      <w:r>
        <w:rPr>
          <w:rFonts w:ascii="Times New Roman"/>
          <w:b w:val="false"/>
          <w:i w:val="false"/>
          <w:color w:val="000000"/>
          <w:sz w:val="28"/>
        </w:rPr>
        <w:t>
      2) заключение на организованном рынке сделки (серии сделок) с ценными бумагами и (или) производными финансовыми инструментами, в результате которых цена, спрос, предложение и (или) объем торгов ценными бумагами и (или) производными финансовыми инструментами отклонились от уровня и (или) поддерживались на уровне, существенно отличающемся от того уровня, который сформировался бы без таких сделок;</w:t>
      </w:r>
    </w:p>
    <w:bookmarkEnd w:id="20"/>
    <w:bookmarkStart w:name="z94" w:id="21"/>
    <w:p>
      <w:pPr>
        <w:spacing w:after="0"/>
        <w:ind w:left="0"/>
        <w:jc w:val="both"/>
      </w:pPr>
      <w:r>
        <w:rPr>
          <w:rFonts w:ascii="Times New Roman"/>
          <w:b w:val="false"/>
          <w:i w:val="false"/>
          <w:color w:val="000000"/>
          <w:sz w:val="28"/>
        </w:rPr>
        <w:t>
      3) создание ложного и (или) вводящего в заблуждение представления о ликвидности ценной бумаги и ее цене путем совершения следующих действий:</w:t>
      </w:r>
    </w:p>
    <w:bookmarkEnd w:id="21"/>
    <w:bookmarkStart w:name="z95" w:id="22"/>
    <w:p>
      <w:pPr>
        <w:spacing w:after="0"/>
        <w:ind w:left="0"/>
        <w:jc w:val="both"/>
      </w:pPr>
      <w:r>
        <w:rPr>
          <w:rFonts w:ascii="Times New Roman"/>
          <w:b w:val="false"/>
          <w:i w:val="false"/>
          <w:color w:val="000000"/>
          <w:sz w:val="28"/>
        </w:rPr>
        <w:t>
      заключение отдельными участниками серии сделок в торговой системе фондовой биржи с данной ценной бумагой, не имеющих экономического смысла и (или) не приводящих к существенному изменению количества ценных бумаг на счетах таких участников;</w:t>
      </w:r>
    </w:p>
    <w:bookmarkEnd w:id="22"/>
    <w:bookmarkStart w:name="z96" w:id="23"/>
    <w:p>
      <w:pPr>
        <w:spacing w:after="0"/>
        <w:ind w:left="0"/>
        <w:jc w:val="both"/>
      </w:pPr>
      <w:r>
        <w:rPr>
          <w:rFonts w:ascii="Times New Roman"/>
          <w:b w:val="false"/>
          <w:i w:val="false"/>
          <w:color w:val="000000"/>
          <w:sz w:val="28"/>
        </w:rPr>
        <w:t>
      и (или) объявления на организованном рынке ценных бумаг заявок на заключение сделок с ценными бумагами существенно выше или ниже предыдущих заявок по данным ценным бумагам с дальнейшим их удалением (отзывом) до заключения сделки;</w:t>
      </w:r>
    </w:p>
    <w:bookmarkEnd w:id="23"/>
    <w:bookmarkStart w:name="z97" w:id="24"/>
    <w:p>
      <w:pPr>
        <w:spacing w:after="0"/>
        <w:ind w:left="0"/>
        <w:jc w:val="both"/>
      </w:pPr>
      <w:r>
        <w:rPr>
          <w:rFonts w:ascii="Times New Roman"/>
          <w:b w:val="false"/>
          <w:i w:val="false"/>
          <w:color w:val="000000"/>
          <w:sz w:val="28"/>
        </w:rPr>
        <w:t>
      и (или) объявления в торговой системе фондовой биржи необоснованного с точки зрения экономического смысла большого количества заявок на заключение сделок незначительного объема, что способно привести к заключению множества небольших по объему сделок, создающих вид активности торгов;</w:t>
      </w:r>
    </w:p>
    <w:bookmarkEnd w:id="24"/>
    <w:bookmarkStart w:name="z98" w:id="25"/>
    <w:p>
      <w:pPr>
        <w:spacing w:after="0"/>
        <w:ind w:left="0"/>
        <w:jc w:val="both"/>
      </w:pPr>
      <w:r>
        <w:rPr>
          <w:rFonts w:ascii="Times New Roman"/>
          <w:b w:val="false"/>
          <w:i w:val="false"/>
          <w:color w:val="000000"/>
          <w:sz w:val="28"/>
        </w:rPr>
        <w:t>
      и (или) распространения недостоверной и (или) вводящей в заблуждение информации в отношении данной ценной бумаги;</w:t>
      </w:r>
    </w:p>
    <w:bookmarkEnd w:id="25"/>
    <w:bookmarkStart w:name="z99" w:id="26"/>
    <w:p>
      <w:pPr>
        <w:spacing w:after="0"/>
        <w:ind w:left="0"/>
        <w:jc w:val="both"/>
      </w:pPr>
      <w:r>
        <w:rPr>
          <w:rFonts w:ascii="Times New Roman"/>
          <w:b w:val="false"/>
          <w:i w:val="false"/>
          <w:color w:val="000000"/>
          <w:sz w:val="28"/>
        </w:rPr>
        <w:t>
      4) распространение физическими и (или) юридическими лицами через средства массовой информации недостоверных и (или) вводящих в заблуждение сведений о ценных бумагах и (или) сделках с ними, их эмитентах и (или) ценах, включая информацию, представленную в рекламе, в результате которого цена, спрос, предложение или объем торгов в торговой системе фондовой биржи с этими ценными бумагами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bookmarkEnd w:id="26"/>
    <w:bookmarkStart w:name="z100" w:id="27"/>
    <w:p>
      <w:pPr>
        <w:spacing w:after="0"/>
        <w:ind w:left="0"/>
        <w:jc w:val="both"/>
      </w:pPr>
      <w:r>
        <w:rPr>
          <w:rFonts w:ascii="Times New Roman"/>
          <w:b w:val="false"/>
          <w:i w:val="false"/>
          <w:color w:val="000000"/>
          <w:sz w:val="28"/>
        </w:rPr>
        <w:t>
      5) покупка или продажа ценных бумаг или производных финансовых инструментов в торговой системе фондовой биржи перед закрытием торговой сессии фондовой биржи с целью введения в заблуждение участников рынка относительно цен, которые сложились в конце торговой сессии;</w:t>
      </w:r>
    </w:p>
    <w:bookmarkEnd w:id="27"/>
    <w:bookmarkStart w:name="z101" w:id="28"/>
    <w:p>
      <w:pPr>
        <w:spacing w:after="0"/>
        <w:ind w:left="0"/>
        <w:jc w:val="both"/>
      </w:pPr>
      <w:r>
        <w:rPr>
          <w:rFonts w:ascii="Times New Roman"/>
          <w:b w:val="false"/>
          <w:i w:val="false"/>
          <w:color w:val="000000"/>
          <w:sz w:val="28"/>
        </w:rPr>
        <w:t>
      6) заключение на организованном рынке серии сделок с ценными бумагами небольшими объемами, в результате которых цена, спрос, предложение или объем торгов ценными бумагами отклонились от уровня, существенно отличающегося от того уровня, который сформировался бы без таких сделок, с последующим заключением сделки (сделок) в большом объеме (больших объемах) по данной цене;</w:t>
      </w:r>
    </w:p>
    <w:bookmarkEnd w:id="28"/>
    <w:bookmarkStart w:name="z102" w:id="29"/>
    <w:p>
      <w:pPr>
        <w:spacing w:after="0"/>
        <w:ind w:left="0"/>
        <w:jc w:val="both"/>
      </w:pPr>
      <w:r>
        <w:rPr>
          <w:rFonts w:ascii="Times New Roman"/>
          <w:b w:val="false"/>
          <w:i w:val="false"/>
          <w:color w:val="000000"/>
          <w:sz w:val="28"/>
        </w:rPr>
        <w:t>
      7) объявление брокером в торговой системе фондовой биржи заявки (заявок) на заключение сделок с ценными бумагами по собственному счету в опережение заключения сделки (сделок) с данными ценными бумагами по счету его клиента, повлиявшей (повлиявших) на изменение цены на эти ценные бумаги;</w:t>
      </w:r>
    </w:p>
    <w:bookmarkEnd w:id="29"/>
    <w:bookmarkStart w:name="z103" w:id="30"/>
    <w:p>
      <w:pPr>
        <w:spacing w:after="0"/>
        <w:ind w:left="0"/>
        <w:jc w:val="both"/>
      </w:pPr>
      <w:r>
        <w:rPr>
          <w:rFonts w:ascii="Times New Roman"/>
          <w:b w:val="false"/>
          <w:i w:val="false"/>
          <w:color w:val="000000"/>
          <w:sz w:val="28"/>
        </w:rPr>
        <w:t>
      8) заключение на организованном рынке сделки либо несколько сделок с ценными бумагами и (или) производными финансовыми инструментами с целью прикрытия другой сделки;</w:t>
      </w:r>
    </w:p>
    <w:bookmarkEnd w:id="30"/>
    <w:bookmarkStart w:name="z104" w:id="31"/>
    <w:p>
      <w:pPr>
        <w:spacing w:after="0"/>
        <w:ind w:left="0"/>
        <w:jc w:val="both"/>
      </w:pPr>
      <w:r>
        <w:rPr>
          <w:rFonts w:ascii="Times New Roman"/>
          <w:b w:val="false"/>
          <w:i w:val="false"/>
          <w:color w:val="000000"/>
          <w:sz w:val="28"/>
        </w:rPr>
        <w:t>
      9) заключение на организованном рынке ценных бумаг сделки либо несколько сделок, соответствующих дополнительным условиям, определенным внутренними документами фондовой биржи.</w:t>
      </w:r>
    </w:p>
    <w:bookmarkEnd w:id="31"/>
    <w:bookmarkStart w:name="z105" w:id="32"/>
    <w:p>
      <w:pPr>
        <w:spacing w:after="0"/>
        <w:ind w:left="0"/>
        <w:jc w:val="both"/>
      </w:pPr>
      <w:r>
        <w:rPr>
          <w:rFonts w:ascii="Times New Roman"/>
          <w:b w:val="false"/>
          <w:i w:val="false"/>
          <w:color w:val="000000"/>
          <w:sz w:val="28"/>
        </w:rPr>
        <w:t>
      Параметры, порядок и условия для мониторинга и анализа вышеуказанных действий субъекта рынка ценных бумаг и иных лиц как совершенных в целях манипулирования на рынке ценных бумаг, в том числе критерии существенного отклонения цены, спроса, предложения, количества или объема торгов ценными бумагами и (или) производными финансовыми инструментами, определяются внутренними документами фондовой биржи, в том числе конфиденциальными, в зависимости от вида, ликвидности и (или) рыночной стоимости ценных бумаг и (или) производных финансовых инструментов, если иное не установлено Правилами.</w:t>
      </w:r>
    </w:p>
    <w:bookmarkEnd w:id="32"/>
    <w:bookmarkStart w:name="z106" w:id="33"/>
    <w:p>
      <w:pPr>
        <w:spacing w:after="0"/>
        <w:ind w:left="0"/>
        <w:jc w:val="both"/>
      </w:pPr>
      <w:r>
        <w:rPr>
          <w:rFonts w:ascii="Times New Roman"/>
          <w:b w:val="false"/>
          <w:i w:val="false"/>
          <w:color w:val="000000"/>
          <w:sz w:val="28"/>
        </w:rPr>
        <w:t>
      4. Не подлежат мониторингу и анализу на предмет выявления действий субъекта рынка ценных бумаг или иных лиц как совершенных в целях манипулирования на рынке ценных бумаг действия соответствующие следующим условиям:</w:t>
      </w:r>
    </w:p>
    <w:bookmarkEnd w:id="33"/>
    <w:bookmarkStart w:name="z156" w:id="34"/>
    <w:p>
      <w:pPr>
        <w:spacing w:after="0"/>
        <w:ind w:left="0"/>
        <w:jc w:val="both"/>
      </w:pPr>
      <w:r>
        <w:rPr>
          <w:rFonts w:ascii="Times New Roman"/>
          <w:b w:val="false"/>
          <w:i w:val="false"/>
          <w:color w:val="000000"/>
          <w:sz w:val="28"/>
        </w:rPr>
        <w:t>
      изменение цены долевых инструментов сложилось в результате проведения дробления (сплита) по акциям и (или) пересмотра количества акций, являющихся базовым активом одной депозитарной расписки;</w:t>
      </w:r>
    </w:p>
    <w:bookmarkEnd w:id="34"/>
    <w:bookmarkStart w:name="z157" w:id="35"/>
    <w:p>
      <w:pPr>
        <w:spacing w:after="0"/>
        <w:ind w:left="0"/>
        <w:jc w:val="both"/>
      </w:pPr>
      <w:r>
        <w:rPr>
          <w:rFonts w:ascii="Times New Roman"/>
          <w:b w:val="false"/>
          <w:i w:val="false"/>
          <w:color w:val="000000"/>
          <w:sz w:val="28"/>
        </w:rPr>
        <w:t>
      заключение сделок с ценными бумагами по цене, сложившейся под влиянием принятого решения совета директоров эмитента этих ценных бумаг об их размещении по новой цене и (или) внесения (внесенных) поправок в условия (проспект) их выпуска, способных значительно повлиять на цену и (или) доходность данных ценных бумаг;</w:t>
      </w:r>
    </w:p>
    <w:bookmarkEnd w:id="35"/>
    <w:bookmarkStart w:name="z158" w:id="36"/>
    <w:p>
      <w:pPr>
        <w:spacing w:after="0"/>
        <w:ind w:left="0"/>
        <w:jc w:val="both"/>
      </w:pPr>
      <w:r>
        <w:rPr>
          <w:rFonts w:ascii="Times New Roman"/>
          <w:b w:val="false"/>
          <w:i w:val="false"/>
          <w:color w:val="000000"/>
          <w:sz w:val="28"/>
        </w:rPr>
        <w:t>
      изменение цены с учетом накопленного дохода и (или) доходности долговых ценных бумаг связано с приближением даты купонной выплаты или погашения ценных бумаг. Величина такого изменения и порядок его расчета определяются внутренними документами фондовой биржи.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37"/>
    <w:p>
      <w:pPr>
        <w:spacing w:after="0"/>
        <w:ind w:left="0"/>
        <w:jc w:val="both"/>
      </w:pPr>
      <w:r>
        <w:rPr>
          <w:rFonts w:ascii="Times New Roman"/>
          <w:b w:val="false"/>
          <w:i w:val="false"/>
          <w:color w:val="000000"/>
          <w:sz w:val="28"/>
        </w:rPr>
        <w:t>
      5. Не являются совершенными с целью манипулирования следующие сделки купли-продажи ценных бумаг, исполнение которых не привело к существенному изменению количества таких ценных бумаг, находящихся у сторон этих сделок:</w:t>
      </w:r>
    </w:p>
    <w:bookmarkEnd w:id="37"/>
    <w:bookmarkStart w:name="z111" w:id="38"/>
    <w:p>
      <w:pPr>
        <w:spacing w:after="0"/>
        <w:ind w:left="0"/>
        <w:jc w:val="both"/>
      </w:pPr>
      <w:r>
        <w:rPr>
          <w:rFonts w:ascii="Times New Roman"/>
          <w:b w:val="false"/>
          <w:i w:val="false"/>
          <w:color w:val="000000"/>
          <w:sz w:val="28"/>
        </w:rPr>
        <w:t>
      1) сделки открытия и закрытия репо, которые относятся к одной и той же операции репо, осуществляемой в предназначенном для таких операций секторе торговой системы фондовой биржи;</w:t>
      </w:r>
    </w:p>
    <w:bookmarkEnd w:id="38"/>
    <w:bookmarkStart w:name="z112" w:id="39"/>
    <w:p>
      <w:pPr>
        <w:spacing w:after="0"/>
        <w:ind w:left="0"/>
        <w:jc w:val="both"/>
      </w:pPr>
      <w:r>
        <w:rPr>
          <w:rFonts w:ascii="Times New Roman"/>
          <w:b w:val="false"/>
          <w:i w:val="false"/>
          <w:color w:val="000000"/>
          <w:sz w:val="28"/>
        </w:rPr>
        <w:t>
      2) две сделки одного и того же объема с одними и теми же ценными бумагами, вторая из которых заключена в целях исправления технической ошибки, допущенной при заключении первой из данных сделок на организованном рынке;</w:t>
      </w:r>
    </w:p>
    <w:bookmarkEnd w:id="39"/>
    <w:bookmarkStart w:name="z113" w:id="40"/>
    <w:p>
      <w:pPr>
        <w:spacing w:after="0"/>
        <w:ind w:left="0"/>
        <w:jc w:val="both"/>
      </w:pPr>
      <w:r>
        <w:rPr>
          <w:rFonts w:ascii="Times New Roman"/>
          <w:b w:val="false"/>
          <w:i w:val="false"/>
          <w:color w:val="000000"/>
          <w:sz w:val="28"/>
        </w:rPr>
        <w:t>
      3) сделки с ценными бумагами, заключенные в торговой системе фондовой биржи методом открытых торгов в течение последних 30 (тридцати) рабочих дней, предшествующих дате заключения сделки, но не менее чем в течение 21 (двадцати одного) рабочего дня из этого периода, с ценными бумагами данного наименования были заключены сделки суммарным объемом не менее 35 000 000 (тридцати пяти миллионов) тенге, сторонами которых являлись не менее 7 (семи) членов фондовой биржи. Торговая система фондовой биржи предусматривает настройки, позволяющие участникам торгов отдельно по каждой ценной бумаге отслеживать количество членов фондовой биржи, являвшихся сторонами сделок, которые были заключены по данной ценной бумаге в течение последних 30 (тридцати) рабочих дней, предшествующих текущей дате торгов;</w:t>
      </w:r>
    </w:p>
    <w:bookmarkEnd w:id="40"/>
    <w:bookmarkStart w:name="z114" w:id="41"/>
    <w:p>
      <w:pPr>
        <w:spacing w:after="0"/>
        <w:ind w:left="0"/>
        <w:jc w:val="both"/>
      </w:pPr>
      <w:r>
        <w:rPr>
          <w:rFonts w:ascii="Times New Roman"/>
          <w:b w:val="false"/>
          <w:i w:val="false"/>
          <w:color w:val="000000"/>
          <w:sz w:val="28"/>
        </w:rPr>
        <w:t>
      4) сделка, условия совершения которой признаны несущественными на основании критериев, определенных внутренними документами фондовой биржи.</w:t>
      </w:r>
    </w:p>
    <w:bookmarkEnd w:id="41"/>
    <w:bookmarkStart w:name="z115" w:id="42"/>
    <w:p>
      <w:pPr>
        <w:spacing w:after="0"/>
        <w:ind w:left="0"/>
        <w:jc w:val="both"/>
      </w:pPr>
      <w:r>
        <w:rPr>
          <w:rFonts w:ascii="Times New Roman"/>
          <w:b w:val="false"/>
          <w:i w:val="false"/>
          <w:color w:val="000000"/>
          <w:sz w:val="28"/>
        </w:rPr>
        <w:t>
      6. Фондовая биржа осуществляет мониторинг и анализ действий по заключению серий 2 (двух) и более сделок с валютной парой доллар Соединенных Штатов Америки и тенге в течение 1 (одного) торгового дня, при их соответствии следующим условиям:</w:t>
      </w:r>
    </w:p>
    <w:bookmarkEnd w:id="42"/>
    <w:bookmarkStart w:name="z116" w:id="43"/>
    <w:p>
      <w:pPr>
        <w:spacing w:after="0"/>
        <w:ind w:left="0"/>
        <w:jc w:val="both"/>
      </w:pPr>
      <w:r>
        <w:rPr>
          <w:rFonts w:ascii="Times New Roman"/>
          <w:b w:val="false"/>
          <w:i w:val="false"/>
          <w:color w:val="000000"/>
          <w:sz w:val="28"/>
        </w:rPr>
        <w:t>
      1) сделки заключены в результате подачи в торговую систему фондовой биржи одной заявки на покупку или продажу, вызвавшей автоматическое удовлетворение двух и более встречных заявок, при этом цена одной из таких сделок отклоняется более чем на 10 (десять) процентов от цены последней сделки, заключенной до подачи такой заявки;</w:t>
      </w:r>
    </w:p>
    <w:bookmarkEnd w:id="43"/>
    <w:bookmarkStart w:name="z117" w:id="44"/>
    <w:p>
      <w:pPr>
        <w:spacing w:after="0"/>
        <w:ind w:left="0"/>
        <w:jc w:val="both"/>
      </w:pPr>
      <w:r>
        <w:rPr>
          <w:rFonts w:ascii="Times New Roman"/>
          <w:b w:val="false"/>
          <w:i w:val="false"/>
          <w:color w:val="000000"/>
          <w:sz w:val="28"/>
        </w:rPr>
        <w:t>
      2) сделки по повышающейся или понижающейся цене, исполнение которых не привело к существенному изменению количества иностранной валюты, находящейся у сторон этих сделок при условии, что каждая из таких сделок заключена в результате подачи двумя участниками торгов встречных заявок, разница в объеме которых составляет не более 5 (пяти) процентов и во времени подачи не более 1 (одной) секунды;</w:t>
      </w:r>
    </w:p>
    <w:bookmarkEnd w:id="44"/>
    <w:bookmarkStart w:name="z118" w:id="45"/>
    <w:p>
      <w:pPr>
        <w:spacing w:after="0"/>
        <w:ind w:left="0"/>
        <w:jc w:val="both"/>
      </w:pPr>
      <w:r>
        <w:rPr>
          <w:rFonts w:ascii="Times New Roman"/>
          <w:b w:val="false"/>
          <w:i w:val="false"/>
          <w:color w:val="000000"/>
          <w:sz w:val="28"/>
        </w:rPr>
        <w:t>
      3) заключение участником сделок, в результате которых цена, спрос, предложение и (или) объем торгов отклонились от уровня и (или) поддерживались на уровне, существенно отличающемся от того уровня, который сформировался бы без таких сделок.</w:t>
      </w:r>
    </w:p>
    <w:bookmarkEnd w:id="45"/>
    <w:bookmarkStart w:name="z119" w:id="46"/>
    <w:p>
      <w:pPr>
        <w:spacing w:after="0"/>
        <w:ind w:left="0"/>
        <w:jc w:val="both"/>
      </w:pPr>
      <w:r>
        <w:rPr>
          <w:rFonts w:ascii="Times New Roman"/>
          <w:b w:val="false"/>
          <w:i w:val="false"/>
          <w:color w:val="000000"/>
          <w:sz w:val="28"/>
        </w:rPr>
        <w:t>
      Для целей настоящего пункта:</w:t>
      </w:r>
    </w:p>
    <w:bookmarkEnd w:id="46"/>
    <w:bookmarkStart w:name="z120" w:id="47"/>
    <w:p>
      <w:pPr>
        <w:spacing w:after="0"/>
        <w:ind w:left="0"/>
        <w:jc w:val="both"/>
      </w:pPr>
      <w:r>
        <w:rPr>
          <w:rFonts w:ascii="Times New Roman"/>
          <w:b w:val="false"/>
          <w:i w:val="false"/>
          <w:color w:val="000000"/>
          <w:sz w:val="28"/>
        </w:rPr>
        <w:t>
      параметры, порядок и условия для мониторинга и анализа вышеуказанных действий субъекта рынка иностранной валюты и иных лиц как совершенных в целях манипулирования на торгах с валютной парой доллар Соединенных Штатов Америки и тенге, в том числе критерии существенного отклонения цены, спроса, предложения или объема торгов, определяются внутренними документами фондовой биржи, в том числе конфиденциальными, если иное не установлено Правилами;</w:t>
      </w:r>
    </w:p>
    <w:bookmarkEnd w:id="47"/>
    <w:bookmarkStart w:name="z121" w:id="48"/>
    <w:p>
      <w:pPr>
        <w:spacing w:after="0"/>
        <w:ind w:left="0"/>
        <w:jc w:val="both"/>
      </w:pPr>
      <w:r>
        <w:rPr>
          <w:rFonts w:ascii="Times New Roman"/>
          <w:b w:val="false"/>
          <w:i w:val="false"/>
          <w:color w:val="000000"/>
          <w:sz w:val="28"/>
        </w:rPr>
        <w:t>
      существенным изменением количества иностранной валюты признается отличие на 10 (десять) процентов и более от первоначального количества иностранной валюты, находящейся у сторон сделок;</w:t>
      </w:r>
    </w:p>
    <w:bookmarkEnd w:id="48"/>
    <w:bookmarkStart w:name="z122" w:id="49"/>
    <w:p>
      <w:pPr>
        <w:spacing w:after="0"/>
        <w:ind w:left="0"/>
        <w:jc w:val="both"/>
      </w:pPr>
      <w:r>
        <w:rPr>
          <w:rFonts w:ascii="Times New Roman"/>
          <w:b w:val="false"/>
          <w:i w:val="false"/>
          <w:color w:val="000000"/>
          <w:sz w:val="28"/>
        </w:rPr>
        <w:t>
      под серией сделок по повышающейся цене понимаются сделки, цена каждой из которых выше цены предыдущей сделки из этой же серии;</w:t>
      </w:r>
    </w:p>
    <w:bookmarkEnd w:id="49"/>
    <w:bookmarkStart w:name="z123" w:id="50"/>
    <w:p>
      <w:pPr>
        <w:spacing w:after="0"/>
        <w:ind w:left="0"/>
        <w:jc w:val="both"/>
      </w:pPr>
      <w:r>
        <w:rPr>
          <w:rFonts w:ascii="Times New Roman"/>
          <w:b w:val="false"/>
          <w:i w:val="false"/>
          <w:color w:val="000000"/>
          <w:sz w:val="28"/>
        </w:rPr>
        <w:t>
      под серией сделок по понижающейся цене понимаются сделки, цена каждой из которых ниже цены предыдущей сделки из этой же серии.</w:t>
      </w:r>
    </w:p>
    <w:bookmarkEnd w:id="50"/>
    <w:bookmarkStart w:name="z124" w:id="51"/>
    <w:p>
      <w:pPr>
        <w:spacing w:after="0"/>
        <w:ind w:left="0"/>
        <w:jc w:val="both"/>
      </w:pPr>
      <w:r>
        <w:rPr>
          <w:rFonts w:ascii="Times New Roman"/>
          <w:b w:val="false"/>
          <w:i w:val="false"/>
          <w:color w:val="000000"/>
          <w:sz w:val="28"/>
        </w:rPr>
        <w:t>
      Мониторингу и анализу не подлежат действия Национального Банка Республики Казахстан, связанные с заключением сделок, предусмотренных частью первой настоящего пункта.</w:t>
      </w:r>
    </w:p>
    <w:bookmarkEnd w:id="51"/>
    <w:bookmarkStart w:name="z125" w:id="52"/>
    <w:p>
      <w:pPr>
        <w:spacing w:after="0"/>
        <w:ind w:left="0"/>
        <w:jc w:val="both"/>
      </w:pPr>
      <w:r>
        <w:rPr>
          <w:rFonts w:ascii="Times New Roman"/>
          <w:b w:val="false"/>
          <w:i w:val="false"/>
          <w:color w:val="000000"/>
          <w:sz w:val="28"/>
        </w:rPr>
        <w:t>
      7. Выявление действий субъекта рынка ценных бумаг и иных лиц как совершенных в целях манипулирования на рынке ценных бумаг, осуществляется:</w:t>
      </w:r>
    </w:p>
    <w:bookmarkEnd w:id="52"/>
    <w:bookmarkStart w:name="z126" w:id="53"/>
    <w:p>
      <w:pPr>
        <w:spacing w:after="0"/>
        <w:ind w:left="0"/>
        <w:jc w:val="both"/>
      </w:pPr>
      <w:r>
        <w:rPr>
          <w:rFonts w:ascii="Times New Roman"/>
          <w:b w:val="false"/>
          <w:i w:val="false"/>
          <w:color w:val="000000"/>
          <w:sz w:val="28"/>
        </w:rPr>
        <w:t>
      1) уполномоченным органом по регулированию, контролю и надзору финансового рынка и финансовых организаций (далее – уполномоченный орган) на основании информации, которая содержится в отчетах фондовой биржи и профессиональных участников рынка ценных бумаг, обращениях (заявлениях, жалобах) субъектов рынка ценных бумаг, государственных органов и иных физических и юридических лиц, публикациях средств массовой информации, результатах проверок деятельности субъекта рынка ценных бумаг;</w:t>
      </w:r>
    </w:p>
    <w:bookmarkEnd w:id="53"/>
    <w:bookmarkStart w:name="z127" w:id="54"/>
    <w:p>
      <w:pPr>
        <w:spacing w:after="0"/>
        <w:ind w:left="0"/>
        <w:jc w:val="both"/>
      </w:pPr>
      <w:r>
        <w:rPr>
          <w:rFonts w:ascii="Times New Roman"/>
          <w:b w:val="false"/>
          <w:i w:val="false"/>
          <w:color w:val="000000"/>
          <w:sz w:val="28"/>
        </w:rPr>
        <w:t>
      2) структурным подразделением фондовой биржи, осуществляющим деятельность по надзору за действиями субъекта рынка ценных бумаг и иных лиц с ценными бумагами и иными финансовыми инструментами, совершаемыми в торговой системе фондовой биржи.</w:t>
      </w:r>
    </w:p>
    <w:bookmarkEnd w:id="54"/>
    <w:bookmarkStart w:name="z128" w:id="55"/>
    <w:p>
      <w:pPr>
        <w:spacing w:after="0"/>
        <w:ind w:left="0"/>
        <w:jc w:val="both"/>
      </w:pPr>
      <w:r>
        <w:rPr>
          <w:rFonts w:ascii="Times New Roman"/>
          <w:b w:val="false"/>
          <w:i w:val="false"/>
          <w:color w:val="000000"/>
          <w:sz w:val="28"/>
        </w:rPr>
        <w:t xml:space="preserve">
      8. При выявлении структурным подразделением фондовой биржи, осуществляющим деятельность по надзору за действиями субъекта рынка ценных бумаг и иных лиц, совершаемыми в торговой системе фондовой биржи, действий субъекта рынка ценных бумаг и иных лиц, соответствующих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с учетом положений,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 отчет о таких действиях направляется в уполномоченный орган в сроки, установленные внутренними документами фондовой биржи, но не позднее 15 (пятнадцати) рабочих дней со дня, следующего за днем выявления таких действий.</w:t>
      </w:r>
    </w:p>
    <w:bookmarkEnd w:id="55"/>
    <w:bookmarkStart w:name="z129" w:id="56"/>
    <w:p>
      <w:pPr>
        <w:spacing w:after="0"/>
        <w:ind w:left="0"/>
        <w:jc w:val="both"/>
      </w:pPr>
      <w:r>
        <w:rPr>
          <w:rFonts w:ascii="Times New Roman"/>
          <w:b w:val="false"/>
          <w:i w:val="false"/>
          <w:color w:val="000000"/>
          <w:sz w:val="28"/>
        </w:rPr>
        <w:t xml:space="preserve">
      При выявлении структурным подразделением фондовой биржи, осуществляющим деятельность по надзору за действиями субъекта рынка ценных бумаг и иных лиц c ценными бумагами и иными финансовыми инструментами, совершаемыми в торговой системе фондовой биржи, действий субъекта рынка ценных бумаг и иных лиц, в отношении которых есть основания полагать, что данные действия совершены в целях манипулирования, в том числе соответствующих </w:t>
      </w:r>
      <w:r>
        <w:rPr>
          <w:rFonts w:ascii="Times New Roman"/>
          <w:b w:val="false"/>
          <w:i w:val="false"/>
          <w:color w:val="000000"/>
          <w:sz w:val="28"/>
        </w:rPr>
        <w:t>подпункту 9)</w:t>
      </w:r>
      <w:r>
        <w:rPr>
          <w:rFonts w:ascii="Times New Roman"/>
          <w:b w:val="false"/>
          <w:i w:val="false"/>
          <w:color w:val="000000"/>
          <w:sz w:val="28"/>
        </w:rPr>
        <w:t xml:space="preserve"> пункта 3 Правил, отчет о таких действиях направляется в уполномоченный орган в сроки, установленные внутренними документами фондовой биржи, но не позднее 60 (шестидесяти) календарных дней со дня, следующего за днем выявления таких действий.</w:t>
      </w:r>
    </w:p>
    <w:bookmarkEnd w:id="56"/>
    <w:bookmarkStart w:name="z130" w:id="57"/>
    <w:p>
      <w:pPr>
        <w:spacing w:after="0"/>
        <w:ind w:left="0"/>
        <w:jc w:val="both"/>
      </w:pPr>
      <w:r>
        <w:rPr>
          <w:rFonts w:ascii="Times New Roman"/>
          <w:b w:val="false"/>
          <w:i w:val="false"/>
          <w:color w:val="000000"/>
          <w:sz w:val="28"/>
        </w:rPr>
        <w:t>
      9.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осуществляющего рассмотрение вопросов признания действий субъекта рынка ценных бумаг и иных лиц как совершенных в целях манипулирования.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58"/>
    <w:p>
      <w:pPr>
        <w:spacing w:after="0"/>
        <w:ind w:left="0"/>
        <w:jc w:val="left"/>
      </w:pPr>
      <w:r>
        <w:rPr>
          <w:rFonts w:ascii="Times New Roman"/>
          <w:b/>
          <w:i w:val="false"/>
          <w:color w:val="000000"/>
        </w:rPr>
        <w:t xml:space="preserve"> Правила создания и работы экспертного комитета, а также его количественный состав</w:t>
      </w:r>
    </w:p>
    <w:bookmarkEnd w:id="58"/>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28.10.2022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59"/>
    <w:p>
      <w:pPr>
        <w:spacing w:after="0"/>
        <w:ind w:left="0"/>
        <w:jc w:val="left"/>
      </w:pPr>
      <w:r>
        <w:rPr>
          <w:rFonts w:ascii="Times New Roman"/>
          <w:b/>
          <w:i w:val="false"/>
          <w:color w:val="000000"/>
        </w:rPr>
        <w:t xml:space="preserve"> Глава 1. Общие положения</w:t>
      </w:r>
    </w:p>
    <w:bookmarkEnd w:id="59"/>
    <w:bookmarkStart w:name="z135" w:id="60"/>
    <w:p>
      <w:pPr>
        <w:spacing w:after="0"/>
        <w:ind w:left="0"/>
        <w:jc w:val="both"/>
      </w:pPr>
      <w:r>
        <w:rPr>
          <w:rFonts w:ascii="Times New Roman"/>
          <w:b w:val="false"/>
          <w:i w:val="false"/>
          <w:color w:val="000000"/>
          <w:sz w:val="28"/>
        </w:rPr>
        <w:t xml:space="preserve">
      1. Настоящие Правила создания и работы экспертного комитета, а также его количественный состав (далее – Правила) разработаны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 рынке ценных бумаг" и устанавливают порядок создания и работы экспертного комитета, осуществляющего рассмотрение вопросов признания действий субъекта рынка ценных бумаг и иных лиц как совершенных в целях манипулирования (далее – экспертный комитет), а также его количественный состав.</w:t>
      </w:r>
    </w:p>
    <w:bookmarkEnd w:id="60"/>
    <w:bookmarkStart w:name="z136" w:id="61"/>
    <w:p>
      <w:pPr>
        <w:spacing w:after="0"/>
        <w:ind w:left="0"/>
        <w:jc w:val="left"/>
      </w:pPr>
      <w:r>
        <w:rPr>
          <w:rFonts w:ascii="Times New Roman"/>
          <w:b/>
          <w:i w:val="false"/>
          <w:color w:val="000000"/>
        </w:rPr>
        <w:t xml:space="preserve"> Глава 2. Порядок создания и работы экспертного комитета, а также его количественный состав</w:t>
      </w:r>
    </w:p>
    <w:bookmarkEnd w:id="61"/>
    <w:bookmarkStart w:name="z137" w:id="62"/>
    <w:p>
      <w:pPr>
        <w:spacing w:after="0"/>
        <w:ind w:left="0"/>
        <w:jc w:val="both"/>
      </w:pPr>
      <w:r>
        <w:rPr>
          <w:rFonts w:ascii="Times New Roman"/>
          <w:b w:val="false"/>
          <w:i w:val="false"/>
          <w:color w:val="000000"/>
          <w:sz w:val="28"/>
        </w:rPr>
        <w:t>
      2. Экспертный комитет создается при уполномоченном органе по регулированию, контролю и надзору финансового рынка и финансовых организаций (далее - уполномоченный орган) в составе не менее десяти членов:</w:t>
      </w:r>
    </w:p>
    <w:bookmarkEnd w:id="62"/>
    <w:bookmarkStart w:name="z138" w:id="63"/>
    <w:p>
      <w:pPr>
        <w:spacing w:after="0"/>
        <w:ind w:left="0"/>
        <w:jc w:val="both"/>
      </w:pPr>
      <w:r>
        <w:rPr>
          <w:rFonts w:ascii="Times New Roman"/>
          <w:b w:val="false"/>
          <w:i w:val="false"/>
          <w:color w:val="000000"/>
          <w:sz w:val="28"/>
        </w:rPr>
        <w:t>
      не менее пяти представителей уполномоченного органа;</w:t>
      </w:r>
    </w:p>
    <w:bookmarkEnd w:id="63"/>
    <w:bookmarkStart w:name="z139" w:id="64"/>
    <w:p>
      <w:pPr>
        <w:spacing w:after="0"/>
        <w:ind w:left="0"/>
        <w:jc w:val="both"/>
      </w:pPr>
      <w:r>
        <w:rPr>
          <w:rFonts w:ascii="Times New Roman"/>
          <w:b w:val="false"/>
          <w:i w:val="false"/>
          <w:color w:val="000000"/>
          <w:sz w:val="28"/>
        </w:rPr>
        <w:t>
      не менее одного представителя Национального Банка Республики Казахстан;</w:t>
      </w:r>
    </w:p>
    <w:bookmarkEnd w:id="64"/>
    <w:bookmarkStart w:name="z140" w:id="65"/>
    <w:p>
      <w:pPr>
        <w:spacing w:after="0"/>
        <w:ind w:left="0"/>
        <w:jc w:val="both"/>
      </w:pPr>
      <w:r>
        <w:rPr>
          <w:rFonts w:ascii="Times New Roman"/>
          <w:b w:val="false"/>
          <w:i w:val="false"/>
          <w:color w:val="000000"/>
          <w:sz w:val="28"/>
        </w:rPr>
        <w:t>
      не менее двух представителей фондовой биржи;</w:t>
      </w:r>
    </w:p>
    <w:bookmarkEnd w:id="65"/>
    <w:bookmarkStart w:name="z141" w:id="66"/>
    <w:p>
      <w:pPr>
        <w:spacing w:after="0"/>
        <w:ind w:left="0"/>
        <w:jc w:val="both"/>
      </w:pPr>
      <w:r>
        <w:rPr>
          <w:rFonts w:ascii="Times New Roman"/>
          <w:b w:val="false"/>
          <w:i w:val="false"/>
          <w:color w:val="000000"/>
          <w:sz w:val="28"/>
        </w:rPr>
        <w:t>
      не менее одного представителя центрального депозитария;</w:t>
      </w:r>
    </w:p>
    <w:bookmarkEnd w:id="66"/>
    <w:bookmarkStart w:name="z142" w:id="67"/>
    <w:p>
      <w:pPr>
        <w:spacing w:after="0"/>
        <w:ind w:left="0"/>
        <w:jc w:val="both"/>
      </w:pPr>
      <w:r>
        <w:rPr>
          <w:rFonts w:ascii="Times New Roman"/>
          <w:b w:val="false"/>
          <w:i w:val="false"/>
          <w:color w:val="000000"/>
          <w:sz w:val="28"/>
        </w:rPr>
        <w:t>
      не менее одного независимого эксперта.</w:t>
      </w:r>
    </w:p>
    <w:bookmarkEnd w:id="67"/>
    <w:bookmarkStart w:name="z143" w:id="68"/>
    <w:p>
      <w:pPr>
        <w:spacing w:after="0"/>
        <w:ind w:left="0"/>
        <w:jc w:val="both"/>
      </w:pPr>
      <w:r>
        <w:rPr>
          <w:rFonts w:ascii="Times New Roman"/>
          <w:b w:val="false"/>
          <w:i w:val="false"/>
          <w:color w:val="000000"/>
          <w:sz w:val="28"/>
        </w:rPr>
        <w:t>
      Независимый эксперт (независимые эксперты) включается (включаются) в состав экспертного комитета на основании предложения объединения юридических лиц, консолидировано выражающего интересы финансового сектора Казахстана, после согласования с уполномоченным органом.</w:t>
      </w:r>
    </w:p>
    <w:bookmarkEnd w:id="68"/>
    <w:bookmarkStart w:name="z144" w:id="69"/>
    <w:p>
      <w:pPr>
        <w:spacing w:after="0"/>
        <w:ind w:left="0"/>
        <w:jc w:val="both"/>
      </w:pPr>
      <w:r>
        <w:rPr>
          <w:rFonts w:ascii="Times New Roman"/>
          <w:b w:val="false"/>
          <w:i w:val="false"/>
          <w:color w:val="000000"/>
          <w:sz w:val="28"/>
        </w:rPr>
        <w:t>
      В заседании экспертного комитета, при приглашении уполномоченным органом на основании решения экспертного комитета, принимают участие в качестве экспертов без права голоса представители субъектов финансового рынка для выражения мнения по рассматриваемому вопросу.</w:t>
      </w:r>
    </w:p>
    <w:bookmarkEnd w:id="69"/>
    <w:bookmarkStart w:name="z145" w:id="70"/>
    <w:p>
      <w:pPr>
        <w:spacing w:after="0"/>
        <w:ind w:left="0"/>
        <w:jc w:val="both"/>
      </w:pPr>
      <w:r>
        <w:rPr>
          <w:rFonts w:ascii="Times New Roman"/>
          <w:b w:val="false"/>
          <w:i w:val="false"/>
          <w:color w:val="000000"/>
          <w:sz w:val="28"/>
        </w:rPr>
        <w:t>
      3. Заседания экспертного комитета проводятся в очной, заочной либо смешанной формах по мере необходимости.</w:t>
      </w:r>
    </w:p>
    <w:bookmarkEnd w:id="70"/>
    <w:bookmarkStart w:name="z159" w:id="71"/>
    <w:p>
      <w:pPr>
        <w:spacing w:after="0"/>
        <w:ind w:left="0"/>
        <w:jc w:val="both"/>
      </w:pPr>
      <w:r>
        <w:rPr>
          <w:rFonts w:ascii="Times New Roman"/>
          <w:b w:val="false"/>
          <w:i w:val="false"/>
          <w:color w:val="000000"/>
          <w:sz w:val="28"/>
        </w:rPr>
        <w:t>
      Кворум для проведения заседания экспертного комитета составляет не менее двух третей его членов. Каждый член экспертного комитета имеет один голос. При равенстве голосов, голос председателя экспертного комитета является решающим.</w:t>
      </w:r>
    </w:p>
    <w:bookmarkEnd w:id="71"/>
    <w:bookmarkStart w:name="z160" w:id="72"/>
    <w:p>
      <w:pPr>
        <w:spacing w:after="0"/>
        <w:ind w:left="0"/>
        <w:jc w:val="both"/>
      </w:pPr>
      <w:r>
        <w:rPr>
          <w:rFonts w:ascii="Times New Roman"/>
          <w:b w:val="false"/>
          <w:i w:val="false"/>
          <w:color w:val="000000"/>
          <w:sz w:val="28"/>
        </w:rPr>
        <w:t>
      Член экспертного комитета не участвует в заседании и подлежит отводу (самоотводу), если результат его голосования при принятии решения по рассматриваемому экспертным комитетом вопросу зависит от его личной заинтересованности. Отвод (самоотвод) мотивируется и заявляется до начала заседания либо в ходе заседания экспертного комитета. Решение об отводе (самоотводе) члена экспертного комитета принимается экспертным комитетом большинством голосов ее членов, участвующих в заседании, оглашается в присутствии члена экспертного комитета и отражается в протоколе, указанном в части седьмой настоящего пункта.</w:t>
      </w:r>
    </w:p>
    <w:bookmarkEnd w:id="72"/>
    <w:bookmarkStart w:name="z161" w:id="73"/>
    <w:p>
      <w:pPr>
        <w:spacing w:after="0"/>
        <w:ind w:left="0"/>
        <w:jc w:val="both"/>
      </w:pPr>
      <w:r>
        <w:rPr>
          <w:rFonts w:ascii="Times New Roman"/>
          <w:b w:val="false"/>
          <w:i w:val="false"/>
          <w:color w:val="000000"/>
          <w:sz w:val="28"/>
        </w:rPr>
        <w:t>
      Решения экспертного комитета принимаются простым большинством голосов членов экспертного комитета, участвовавших на заседании.</w:t>
      </w:r>
    </w:p>
    <w:bookmarkEnd w:id="73"/>
    <w:bookmarkStart w:name="z162" w:id="74"/>
    <w:p>
      <w:pPr>
        <w:spacing w:after="0"/>
        <w:ind w:left="0"/>
        <w:jc w:val="both"/>
      </w:pP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если за принятие решения проголосовало простое большинство голосов членов экспертного комитета.</w:t>
      </w:r>
    </w:p>
    <w:bookmarkEnd w:id="74"/>
    <w:bookmarkStart w:name="z163" w:id="75"/>
    <w:p>
      <w:pPr>
        <w:spacing w:after="0"/>
        <w:ind w:left="0"/>
        <w:jc w:val="both"/>
      </w:pPr>
      <w:r>
        <w:rPr>
          <w:rFonts w:ascii="Times New Roman"/>
          <w:b w:val="false"/>
          <w:i w:val="false"/>
          <w:color w:val="000000"/>
          <w:sz w:val="28"/>
        </w:rPr>
        <w:t>
      Заочное голосование в случае необходимости применяется вместе с голосованием членов экспертного комитета, присутствующих на заседании (смешанное голосование). При определении кворума, решения которого принимаются посредством смешанного голосования, учитываются бюллетени членов экспертного комитета, проголосовавших заочно, представленные до начала проведения заседания экспертного комитета.</w:t>
      </w:r>
    </w:p>
    <w:bookmarkEnd w:id="75"/>
    <w:bookmarkStart w:name="z164" w:id="76"/>
    <w:p>
      <w:pPr>
        <w:spacing w:after="0"/>
        <w:ind w:left="0"/>
        <w:jc w:val="both"/>
      </w:pPr>
      <w:r>
        <w:rPr>
          <w:rFonts w:ascii="Times New Roman"/>
          <w:b w:val="false"/>
          <w:i w:val="false"/>
          <w:color w:val="000000"/>
          <w:sz w:val="28"/>
        </w:rPr>
        <w:t>
      Решения экспертного комитета оформляются протоколом, подписываемым председателем и секретарем экспертного комитета в срок не позднее пятого рабочего дня после проведения заседания экспертного комитета, и экспертным заключением, подписываемым всеми членами экспертного комитета, принимавшими участие в голосовании.</w:t>
      </w:r>
    </w:p>
    <w:bookmarkEnd w:id="76"/>
    <w:bookmarkStart w:name="z165" w:id="77"/>
    <w:p>
      <w:pPr>
        <w:spacing w:after="0"/>
        <w:ind w:left="0"/>
        <w:jc w:val="both"/>
      </w:pPr>
      <w:r>
        <w:rPr>
          <w:rFonts w:ascii="Times New Roman"/>
          <w:b w:val="false"/>
          <w:i w:val="false"/>
          <w:color w:val="000000"/>
          <w:sz w:val="28"/>
        </w:rPr>
        <w:t>
      Вопросы, касающиеся действий субъекта рынка ценных бумаг и иных лиц в отношении иностранной валюты как совершенных в целях манипулирования, рассматриваются на заседании экспертного комитета, если на данном заседании принимает участие представитель Национального Банка Республики Казахстан.</w:t>
      </w:r>
    </w:p>
    <w:bookmarkEnd w:id="77"/>
    <w:bookmarkStart w:name="z166" w:id="78"/>
    <w:p>
      <w:pPr>
        <w:spacing w:after="0"/>
        <w:ind w:left="0"/>
        <w:jc w:val="both"/>
      </w:pPr>
      <w:r>
        <w:rPr>
          <w:rFonts w:ascii="Times New Roman"/>
          <w:b w:val="false"/>
          <w:i w:val="false"/>
          <w:color w:val="000000"/>
          <w:sz w:val="28"/>
        </w:rPr>
        <w:t>
      На заседаниях экспертного комитета, помимо прочего, рассматриваются действия субъекта рынка цифровых финансовых активов и иных лиц на предмет наличия признаков манипулирования. По результатам рассмотрения таких действий экспертный комитет выражает мнение о наличии либо отсутствии в данных действиях признаков манипулирования, оформленное экспертным заключением, которое используется уполномоченным органом при принятии решения о признании указанных действий как совершенных в целях манипулирования на рынке цифровых финансовых активов.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53" w:id="79"/>
    <w:p>
      <w:pPr>
        <w:spacing w:after="0"/>
        <w:ind w:left="0"/>
        <w:jc w:val="both"/>
      </w:pPr>
      <w:r>
        <w:rPr>
          <w:rFonts w:ascii="Times New Roman"/>
          <w:b w:val="false"/>
          <w:i w:val="false"/>
          <w:color w:val="000000"/>
          <w:sz w:val="28"/>
        </w:rPr>
        <w:t>
      4. Субъекты рынка ценных бумаг или иные лица, информация о чьих действиях вынесена на рассмотрение экспертного комитета, по запросу уполномоченного органа представляют письменные разъяснения обстоятельств совершения указанных действий.</w:t>
      </w:r>
    </w:p>
    <w:bookmarkEnd w:id="79"/>
    <w:bookmarkStart w:name="z154" w:id="80"/>
    <w:p>
      <w:pPr>
        <w:spacing w:after="0"/>
        <w:ind w:left="0"/>
        <w:jc w:val="both"/>
      </w:pPr>
      <w:r>
        <w:rPr>
          <w:rFonts w:ascii="Times New Roman"/>
          <w:b w:val="false"/>
          <w:i w:val="false"/>
          <w:color w:val="000000"/>
          <w:sz w:val="28"/>
        </w:rPr>
        <w:t>
      По рекомендации экспертного комитета такие лица приглашаются на заседание экспертного комитета с целью представления разъяснений обстоятельств совершения указанных действий. При изъявлении такими лицами желания принять участие на заседании экспертного комитета заседание экспертного комитета проводится в очной либо смешанной форме.</w:t>
      </w:r>
    </w:p>
    <w:bookmarkEnd w:id="80"/>
    <w:bookmarkStart w:name="z155" w:id="81"/>
    <w:p>
      <w:pPr>
        <w:spacing w:after="0"/>
        <w:ind w:left="0"/>
        <w:jc w:val="both"/>
      </w:pPr>
      <w:r>
        <w:rPr>
          <w:rFonts w:ascii="Times New Roman"/>
          <w:b w:val="false"/>
          <w:i w:val="false"/>
          <w:color w:val="000000"/>
          <w:sz w:val="28"/>
        </w:rPr>
        <w:t>
      5. Заключение экспертного комитета является выражением его мнения относительно того, имеются ли необходимые и достаточные основания для признания действий субъекта рынка ценных бумаг и иных лиц как совершенных в целях манипулирования.</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319</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8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82"/>
    <w:bookmarkStart w:name="z80"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13 "Об утверждении Правил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формирования и работы экспертного комитета фондовой биржи, а также его количественного состава" (зарегистрировано в Реестре государственной регистрации нормативных правовых актов под № 13333, опубликовано 14 марта 2016 года в информационно-правовой системе "Әділет").</w:t>
      </w:r>
    </w:p>
    <w:bookmarkEnd w:id="83"/>
    <w:bookmarkStart w:name="z81"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рынка ценных бумаг, утвержденного постановлением Правления Национального Банка Республики Казахстан от 17 марта 2016 года № 106 "О внесении изменений в некоторые нормативные правовые акты Республики Казахстан по вопросам рынка ценных бумаг" (зарегистрировано в Реестре государственной регистрации нормативных правовых актов под № 13668, опубликовано 25 мая 2016 года в информационно-правовой системе "Әділет").</w:t>
      </w:r>
    </w:p>
    <w:bookmarkEnd w:id="84"/>
    <w:bookmarkStart w:name="z82" w:id="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27 марта 2017 года № 50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15274, опубликовано 12 июля 2017 года в Эталонном контрольном банке нормативных правовых актов Республики Казахстан).</w:t>
      </w:r>
    </w:p>
    <w:bookmarkEnd w:id="85"/>
    <w:bookmarkStart w:name="z83"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утвержденного постановлением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