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c424" w14:textId="175c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246. Зарегистрировано в Министерстве юстиции Республики Казахстан 20 декабря 2018 года № 17972.</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и дополнение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 за исключением пунктов 2, 4, 5, 6, 7 и 8 Перечня, которые вводятся в действие с 1 января 2019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       Комитет по статистике</w:t>
      </w:r>
    </w:p>
    <w:p>
      <w:pPr>
        <w:spacing w:after="0"/>
        <w:ind w:left="0"/>
        <w:jc w:val="both"/>
      </w:pPr>
      <w:r>
        <w:rPr>
          <w:rFonts w:ascii="Times New Roman"/>
          <w:b w:val="false"/>
          <w:i w:val="false"/>
          <w:color w:val="000000"/>
          <w:sz w:val="28"/>
        </w:rPr>
        <w:t xml:space="preserve">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"___" 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246</w:t>
            </w:r>
          </w:p>
        </w:tc>
      </w:tr>
    </w:tbl>
    <w:bookmarkStart w:name="z26" w:id="11"/>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w:t>
      </w:r>
      <w:r>
        <w:br/>
      </w:r>
      <w:r>
        <w:rPr>
          <w:rFonts w:ascii="Times New Roman"/>
          <w:b/>
          <w:i w:val="false"/>
          <w:color w:val="000000"/>
        </w:rPr>
        <w:t>по вопросам регулирования финансового рынка,</w:t>
      </w:r>
      <w:r>
        <w:br/>
      </w:r>
      <w:r>
        <w:rPr>
          <w:rFonts w:ascii="Times New Roman"/>
          <w:b/>
          <w:i w:val="false"/>
          <w:color w:val="000000"/>
        </w:rPr>
        <w:t>в которые вносятся изменения и дополнение</w:t>
      </w:r>
    </w:p>
    <w:bookmarkEnd w:id="11"/>
    <w:bookmarkStart w:name="z27"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ноября 1999 года № 396 "Об утверждении Правил учета векселей банками второго уровня Республики Казахстан" (зарегистрировано в Реестре государственной регистрации нормативных правовых актов под № 1015) следующие изменения:</w:t>
      </w:r>
    </w:p>
    <w:bookmarkEnd w:id="12"/>
    <w:bookmarkStart w:name="z28" w:id="13"/>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3"/>
    <w:bookmarkStart w:name="z2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4"/>
    <w:bookmarkStart w:name="z30"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векселей банками второго уровня Республики Казахстан, утвержденных указанным постановлением:</w:t>
      </w:r>
    </w:p>
    <w:bookmarkEnd w:id="15"/>
    <w:bookmarkStart w:name="z31" w:id="16"/>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6"/>
    <w:bookmarkStart w:name="z32" w:id="17"/>
    <w:p>
      <w:pPr>
        <w:spacing w:after="0"/>
        <w:ind w:left="0"/>
        <w:jc w:val="both"/>
      </w:pPr>
      <w:r>
        <w:rPr>
          <w:rFonts w:ascii="Times New Roman"/>
          <w:b w:val="false"/>
          <w:i w:val="false"/>
          <w:color w:val="000000"/>
          <w:sz w:val="28"/>
        </w:rPr>
        <w:t>
      в преамбулу внесено изменение на государственном языке, текст на русском языке не меняется;</w:t>
      </w:r>
    </w:p>
    <w:bookmarkEnd w:id="17"/>
    <w:bookmarkStart w:name="z33" w:id="18"/>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35" w:id="19"/>
    <w:p>
      <w:pPr>
        <w:spacing w:after="0"/>
        <w:ind w:left="0"/>
        <w:jc w:val="both"/>
      </w:pPr>
      <w:r>
        <w:rPr>
          <w:rFonts w:ascii="Times New Roman"/>
          <w:b w:val="false"/>
          <w:i w:val="false"/>
          <w:color w:val="000000"/>
          <w:sz w:val="28"/>
        </w:rPr>
        <w:t>
      "6. Форфейтинг - прием (покупка) векселя банком по индоссаменту с выплатой вексельной суммы без права регресса на клиента (своего индоссанта). Банк вправе проводить форфейтинговые операции при наличии лицензии уполномоченного органа по регулированию, контролю и надзору финансового рынка и финансовых организаций (далее - уполномоченный орган) на проведение форфейтинговых операций. При осуществлении форфейтинга банк также вправе удержать из вексельной суммы дисконт.";</w:t>
      </w:r>
    </w:p>
    <w:bookmarkEnd w:id="19"/>
    <w:bookmarkStart w:name="z3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0"/>
    <w:bookmarkStart w:name="z3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1"/>
    <w:bookmarkStart w:name="z38" w:id="22"/>
    <w:p>
      <w:pPr>
        <w:spacing w:after="0"/>
        <w:ind w:left="0"/>
        <w:jc w:val="both"/>
      </w:pPr>
      <w:r>
        <w:rPr>
          <w:rFonts w:ascii="Times New Roman"/>
          <w:b w:val="false"/>
          <w:i w:val="false"/>
          <w:color w:val="000000"/>
          <w:sz w:val="28"/>
        </w:rPr>
        <w:t xml:space="preserve">
      в подпункт 2) </w:t>
      </w:r>
      <w:r>
        <w:rPr>
          <w:rFonts w:ascii="Times New Roman"/>
          <w:b w:val="false"/>
          <w:i w:val="false"/>
          <w:color w:val="000000"/>
          <w:sz w:val="28"/>
        </w:rPr>
        <w:t>пункта 15</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2"/>
    <w:bookmarkStart w:name="z3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End w:id="23"/>
    <w:bookmarkStart w:name="z4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26</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4"/>
    <w:bookmarkStart w:name="z41" w:id="25"/>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27</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5"/>
    <w:bookmarkStart w:name="z42" w:id="26"/>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31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44" w:id="27"/>
    <w:p>
      <w:pPr>
        <w:spacing w:after="0"/>
        <w:ind w:left="0"/>
        <w:jc w:val="both"/>
      </w:pPr>
      <w:r>
        <w:rPr>
          <w:rFonts w:ascii="Times New Roman"/>
          <w:b w:val="false"/>
          <w:i w:val="false"/>
          <w:color w:val="000000"/>
          <w:sz w:val="28"/>
        </w:rPr>
        <w:t xml:space="preserve">
      "47. Банк вправе осуществлять следующие операции с векселями, принятыми к учету и находящимися в его портфеле: </w:t>
      </w:r>
    </w:p>
    <w:bookmarkEnd w:id="27"/>
    <w:bookmarkStart w:name="z45" w:id="28"/>
    <w:p>
      <w:pPr>
        <w:spacing w:after="0"/>
        <w:ind w:left="0"/>
        <w:jc w:val="both"/>
      </w:pPr>
      <w:r>
        <w:rPr>
          <w:rFonts w:ascii="Times New Roman"/>
          <w:b w:val="false"/>
          <w:i w:val="false"/>
          <w:color w:val="000000"/>
          <w:sz w:val="28"/>
        </w:rPr>
        <w:t xml:space="preserve">
      1) при наступлении срока платежа получить платеж по векселю; </w:t>
      </w:r>
    </w:p>
    <w:bookmarkEnd w:id="28"/>
    <w:bookmarkStart w:name="z46" w:id="29"/>
    <w:p>
      <w:pPr>
        <w:spacing w:after="0"/>
        <w:ind w:left="0"/>
        <w:jc w:val="both"/>
      </w:pPr>
      <w:r>
        <w:rPr>
          <w:rFonts w:ascii="Times New Roman"/>
          <w:b w:val="false"/>
          <w:i w:val="false"/>
          <w:color w:val="000000"/>
          <w:sz w:val="28"/>
        </w:rPr>
        <w:t xml:space="preserve">
      2) индоссировать вексель.";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 </w:t>
      </w:r>
    </w:p>
    <w:bookmarkStart w:name="z49" w:id="30"/>
    <w:p>
      <w:pPr>
        <w:spacing w:after="0"/>
        <w:ind w:left="0"/>
        <w:jc w:val="both"/>
      </w:pPr>
      <w:r>
        <w:rPr>
          <w:rFonts w:ascii="Times New Roman"/>
          <w:b w:val="false"/>
          <w:i w:val="false"/>
          <w:color w:val="000000"/>
          <w:sz w:val="28"/>
        </w:rPr>
        <w:t>
      "51. Учетные конторы (банки), имеющие лицензию Национального Банка Республики Казахстан на проведение валютных операций, могут использовать погашения задолженности перед ним.";</w:t>
      </w:r>
    </w:p>
    <w:bookmarkEnd w:id="30"/>
    <w:bookmarkStart w:name="z50"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53</w:t>
      </w:r>
      <w:r>
        <w:rPr>
          <w:rFonts w:ascii="Times New Roman"/>
          <w:b w:val="false"/>
          <w:i w:val="false"/>
          <w:color w:val="000000"/>
          <w:sz w:val="28"/>
        </w:rPr>
        <w:t xml:space="preserve"> внесено изменение на государственном языке, текст на русском языке не меняется.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19.11.2019 </w:t>
      </w:r>
      <w:r>
        <w:rPr>
          <w:rFonts w:ascii="Times New Roman"/>
          <w:b w:val="false"/>
          <w:i w:val="false"/>
          <w:color w:val="000000"/>
          <w:sz w:val="28"/>
        </w:rPr>
        <w:t>№ 196</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0" w:id="3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расчета значений пруденциальных нормативов для организатора торгов" (зарегистрировано в Реестре государственной регистрации нормативных правовых актов под № 6207) следующие изменения:</w:t>
      </w:r>
    </w:p>
    <w:bookmarkEnd w:id="32"/>
    <w:bookmarkStart w:name="z61" w:id="33"/>
    <w:p>
      <w:pPr>
        <w:spacing w:after="0"/>
        <w:ind w:left="0"/>
        <w:jc w:val="both"/>
      </w:pPr>
      <w:r>
        <w:rPr>
          <w:rFonts w:ascii="Times New Roman"/>
          <w:b w:val="false"/>
          <w:i w:val="false"/>
          <w:color w:val="000000"/>
          <w:sz w:val="28"/>
        </w:rPr>
        <w:t>
      заголовок изложить в следующей редакции:</w:t>
      </w:r>
    </w:p>
    <w:bookmarkEnd w:id="33"/>
    <w:bookmarkStart w:name="z62" w:id="34"/>
    <w:p>
      <w:pPr>
        <w:spacing w:after="0"/>
        <w:ind w:left="0"/>
        <w:jc w:val="both"/>
      </w:pPr>
      <w:r>
        <w:rPr>
          <w:rFonts w:ascii="Times New Roman"/>
          <w:b w:val="false"/>
          <w:i w:val="false"/>
          <w:color w:val="000000"/>
          <w:sz w:val="28"/>
        </w:rPr>
        <w:t>
      "Об утверждении Правил и методик расчета значений пруденциальных нормативов для организатора торгов";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 w:id="35"/>
    <w:p>
      <w:pPr>
        <w:spacing w:after="0"/>
        <w:ind w:left="0"/>
        <w:jc w:val="both"/>
      </w:pPr>
      <w:r>
        <w:rPr>
          <w:rFonts w:ascii="Times New Roman"/>
          <w:b w:val="false"/>
          <w:i w:val="false"/>
          <w:color w:val="000000"/>
          <w:sz w:val="28"/>
        </w:rPr>
        <w:t>
      "1. Утвердить прилагаемые Правила и методики расчета значений пруденциальных нормативов для организатора торгов.";</w:t>
      </w:r>
    </w:p>
    <w:bookmarkEnd w:id="35"/>
    <w:bookmarkStart w:name="z65"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для организатора торгов, утвержденных указанным постановлением:</w:t>
      </w:r>
    </w:p>
    <w:bookmarkEnd w:id="36"/>
    <w:bookmarkStart w:name="z66" w:id="37"/>
    <w:p>
      <w:pPr>
        <w:spacing w:after="0"/>
        <w:ind w:left="0"/>
        <w:jc w:val="both"/>
      </w:pPr>
      <w:r>
        <w:rPr>
          <w:rFonts w:ascii="Times New Roman"/>
          <w:b w:val="false"/>
          <w:i w:val="false"/>
          <w:color w:val="000000"/>
          <w:sz w:val="28"/>
        </w:rPr>
        <w:t>
      заголовок изложить в следующей редакции:</w:t>
      </w:r>
    </w:p>
    <w:bookmarkEnd w:id="37"/>
    <w:bookmarkStart w:name="z67" w:id="38"/>
    <w:p>
      <w:pPr>
        <w:spacing w:after="0"/>
        <w:ind w:left="0"/>
        <w:jc w:val="both"/>
      </w:pPr>
      <w:r>
        <w:rPr>
          <w:rFonts w:ascii="Times New Roman"/>
          <w:b w:val="false"/>
          <w:i w:val="false"/>
          <w:color w:val="000000"/>
          <w:sz w:val="28"/>
        </w:rPr>
        <w:t>
      "Правила и методики расчета значений пруденциальных нормативов для организатора торгов";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 w:id="39"/>
    <w:p>
      <w:pPr>
        <w:spacing w:after="0"/>
        <w:ind w:left="0"/>
        <w:jc w:val="both"/>
      </w:pPr>
      <w:r>
        <w:rPr>
          <w:rFonts w:ascii="Times New Roman"/>
          <w:b w:val="false"/>
          <w:i w:val="false"/>
          <w:color w:val="000000"/>
          <w:sz w:val="28"/>
        </w:rPr>
        <w:t xml:space="preserve">
      "1. Настоящие Правила и методики расчета значений пруденциальных нормативов для организатора торгов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устанавливают порядок и методики расчета значений пруденциальных нормативов для организатора торгов.</w:t>
      </w:r>
    </w:p>
    <w:bookmarkEnd w:id="39"/>
    <w:bookmarkStart w:name="z70" w:id="40"/>
    <w:p>
      <w:pPr>
        <w:spacing w:after="0"/>
        <w:ind w:left="0"/>
        <w:jc w:val="both"/>
      </w:pPr>
      <w:r>
        <w:rPr>
          <w:rFonts w:ascii="Times New Roman"/>
          <w:b w:val="false"/>
          <w:i w:val="false"/>
          <w:color w:val="000000"/>
          <w:sz w:val="28"/>
        </w:rPr>
        <w:t>
      На организатора торгов, не менее двадцати пяти процентов от общего количества голосующих акций которого принадлежат Национальному Банку Республики Казахстан, настоящие Правила распространяются в части требований, установленных пунктом 3.";</w:t>
      </w:r>
    </w:p>
    <w:bookmarkEnd w:id="40"/>
    <w:bookmarkStart w:name="z71" w:id="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1"/>
    <w:bookmarkStart w:name="z72" w:id="42"/>
    <w:p>
      <w:pPr>
        <w:spacing w:after="0"/>
        <w:ind w:left="0"/>
        <w:jc w:val="both"/>
      </w:pPr>
      <w:r>
        <w:rPr>
          <w:rFonts w:ascii="Times New Roman"/>
          <w:b w:val="false"/>
          <w:i w:val="false"/>
          <w:color w:val="000000"/>
          <w:sz w:val="28"/>
        </w:rPr>
        <w:t>
      "Глава 2. Пруденциальный норматив "Минимальный размер капитала";</w:t>
      </w:r>
    </w:p>
    <w:bookmarkEnd w:id="42"/>
    <w:bookmarkStart w:name="z73" w:id="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3"/>
    <w:bookmarkStart w:name="z74" w:id="44"/>
    <w:p>
      <w:pPr>
        <w:spacing w:after="0"/>
        <w:ind w:left="0"/>
        <w:jc w:val="both"/>
      </w:pPr>
      <w:r>
        <w:rPr>
          <w:rFonts w:ascii="Times New Roman"/>
          <w:b w:val="false"/>
          <w:i w:val="false"/>
          <w:color w:val="000000"/>
          <w:sz w:val="28"/>
        </w:rPr>
        <w:t>
      "Глава 3. Методика расчета пруденциального норматива "Достаточность собственного капитала";</w:t>
      </w:r>
    </w:p>
    <w:bookmarkEnd w:id="44"/>
    <w:bookmarkStart w:name="z75" w:id="45"/>
    <w:p>
      <w:pPr>
        <w:spacing w:after="0"/>
        <w:ind w:left="0"/>
        <w:jc w:val="both"/>
      </w:pPr>
      <w:r>
        <w:rPr>
          <w:rFonts w:ascii="Times New Roman"/>
          <w:b w:val="false"/>
          <w:i w:val="false"/>
          <w:color w:val="000000"/>
          <w:sz w:val="28"/>
        </w:rPr>
        <w:t xml:space="preserve">
      абзац первый подпункта 2) части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5"/>
    <w:bookmarkStart w:name="z76" w:id="46"/>
    <w:p>
      <w:pPr>
        <w:spacing w:after="0"/>
        <w:ind w:left="0"/>
        <w:jc w:val="both"/>
      </w:pPr>
      <w:r>
        <w:rPr>
          <w:rFonts w:ascii="Times New Roman"/>
          <w:b w:val="false"/>
          <w:i w:val="false"/>
          <w:color w:val="000000"/>
          <w:sz w:val="28"/>
        </w:rPr>
        <w:t xml:space="preserve">
      "2) Кр - кредитный риск, рассчитываемый как сумма активов, условных и возможных обязательств, производных финансовых инструментов, взвешенных по степени кредитного риска в соответствии с Таблицей активов организатора торгов, взвешенных по степени кредитного риска вложений,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приложение 1) к настоящим Правилам, Таблицей условных и возможных обязательств организатора торгов, взвешенных по степени кредитного риска,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приложение 2) к настоящим Правилам, Расшифровкой производных финансовых инструментов, взвешенных с учетом кредитного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(далее – приложение 3) к настоящим Правилам.";</w:t>
      </w:r>
    </w:p>
    <w:bookmarkEnd w:id="46"/>
    <w:bookmarkStart w:name="z77" w:id="47"/>
    <w:p>
      <w:pPr>
        <w:spacing w:after="0"/>
        <w:ind w:left="0"/>
        <w:jc w:val="both"/>
      </w:pPr>
      <w:r>
        <w:rPr>
          <w:rFonts w:ascii="Times New Roman"/>
          <w:b w:val="false"/>
          <w:i w:val="false"/>
          <w:color w:val="000000"/>
          <w:sz w:val="28"/>
        </w:rPr>
        <w:t>
      заголовок главы 4 изложить в следующей редакции:</w:t>
      </w:r>
    </w:p>
    <w:bookmarkEnd w:id="47"/>
    <w:bookmarkStart w:name="z78" w:id="48"/>
    <w:p>
      <w:pPr>
        <w:spacing w:after="0"/>
        <w:ind w:left="0"/>
        <w:jc w:val="both"/>
      </w:pPr>
      <w:r>
        <w:rPr>
          <w:rFonts w:ascii="Times New Roman"/>
          <w:b w:val="false"/>
          <w:i w:val="false"/>
          <w:color w:val="000000"/>
          <w:sz w:val="28"/>
        </w:rPr>
        <w:t>
      "Глава 4. Методика расчета пруденциального норматива "Текущая ликвидность";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0" w:id="49"/>
    <w:p>
      <w:pPr>
        <w:spacing w:after="0"/>
        <w:ind w:left="0"/>
        <w:jc w:val="both"/>
      </w:pPr>
      <w:r>
        <w:rPr>
          <w:rFonts w:ascii="Times New Roman"/>
          <w:b w:val="false"/>
          <w:i w:val="false"/>
          <w:color w:val="000000"/>
          <w:sz w:val="28"/>
        </w:rPr>
        <w:t>
      "7. Коэффициент текущей ликвидности организатора торгов - К2 составляет не менее 0,015.</w:t>
      </w:r>
    </w:p>
    <w:bookmarkEnd w:id="49"/>
    <w:bookmarkStart w:name="z81" w:id="50"/>
    <w:p>
      <w:pPr>
        <w:spacing w:after="0"/>
        <w:ind w:left="0"/>
        <w:jc w:val="both"/>
      </w:pPr>
      <w:r>
        <w:rPr>
          <w:rFonts w:ascii="Times New Roman"/>
          <w:b w:val="false"/>
          <w:i w:val="false"/>
          <w:color w:val="000000"/>
          <w:sz w:val="28"/>
        </w:rPr>
        <w:t xml:space="preserve">
      Организатор торгов производит расчеты значения коэффициента К2 ежемесячно по состоянию на конец последнего рабочего дня отчетного месяца в соответствии с Расшифровкой коэффициента текущей ликвидности К2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(далее – приложение 4)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83" w:id="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51"/>
    <w:bookmarkStart w:name="z84" w:id="52"/>
    <w:p>
      <w:pPr>
        <w:spacing w:after="0"/>
        <w:ind w:left="0"/>
        <w:jc w:val="both"/>
      </w:pPr>
      <w:r>
        <w:rPr>
          <w:rFonts w:ascii="Times New Roman"/>
          <w:b w:val="false"/>
          <w:i w:val="false"/>
          <w:color w:val="000000"/>
          <w:sz w:val="28"/>
        </w:rPr>
        <w:t xml:space="preserve">
      "11. Расчеты значения коэффициента К1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коэффициента К2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а также Отчет о выполнении пруденциальных нормативов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приложение 5) к настоящим Правилам предоставляются организатором торгов в уполномоченный орган ежеквартально не позднее пятого рабочего дня месяца, следующего за отчетным кварталом, по следующим формам приложений к настоящим Правилам:";</w:t>
      </w:r>
    </w:p>
    <w:bookmarkEnd w:id="52"/>
    <w:bookmarkStart w:name="z85" w:id="5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53"/>
    <w:bookmarkStart w:name="z86" w:id="54"/>
    <w:p>
      <w:pPr>
        <w:spacing w:after="0"/>
        <w:ind w:left="0"/>
        <w:jc w:val="both"/>
      </w:pPr>
      <w:r>
        <w:rPr>
          <w:rFonts w:ascii="Times New Roman"/>
          <w:b w:val="false"/>
          <w:i w:val="false"/>
          <w:color w:val="000000"/>
          <w:sz w:val="28"/>
        </w:rPr>
        <w:t>
      "12. Расчеты значений коэффициентов К1, К2, а также отчет о выполнении пруденциальных нормативов на бумажном носителе по состоянию на отчетную дату подписываются первым руководителем организатора торгов, главным бухгалтером или лицами, уполномоченными на подписание отчета, и исполнителем и представляются в уполномоченный орган, а также хранятся у организатора торгов.";</w:t>
      </w:r>
    </w:p>
    <w:bookmarkEnd w:id="54"/>
    <w:bookmarkStart w:name="z87" w:id="55"/>
    <w:p>
      <w:pPr>
        <w:spacing w:after="0"/>
        <w:ind w:left="0"/>
        <w:jc w:val="both"/>
      </w:pPr>
      <w:r>
        <w:rPr>
          <w:rFonts w:ascii="Times New Roman"/>
          <w:b w:val="false"/>
          <w:i w:val="false"/>
          <w:color w:val="000000"/>
          <w:sz w:val="28"/>
        </w:rPr>
        <w:t xml:space="preserve">
      Таблицу активов организатора торгов, взвешенных по степени кредитного риска вложений,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55"/>
    <w:bookmarkStart w:name="z88" w:id="56"/>
    <w:p>
      <w:pPr>
        <w:spacing w:after="0"/>
        <w:ind w:left="0"/>
        <w:jc w:val="both"/>
      </w:pPr>
      <w:r>
        <w:rPr>
          <w:rFonts w:ascii="Times New Roman"/>
          <w:b w:val="false"/>
          <w:i w:val="false"/>
          <w:color w:val="000000"/>
          <w:sz w:val="28"/>
        </w:rPr>
        <w:t xml:space="preserve">
      Таблицу условных и возможных обязательств организатора торгов, взвешенных по степени кредитного риска,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56"/>
    <w:bookmarkStart w:name="z89" w:id="57"/>
    <w:p>
      <w:pPr>
        <w:spacing w:after="0"/>
        <w:ind w:left="0"/>
        <w:jc w:val="both"/>
      </w:pPr>
      <w:r>
        <w:rPr>
          <w:rFonts w:ascii="Times New Roman"/>
          <w:b w:val="false"/>
          <w:i w:val="false"/>
          <w:color w:val="000000"/>
          <w:sz w:val="28"/>
        </w:rPr>
        <w:t xml:space="preserve">
      Расшифровку производных финансовых инструментов, взвешенных с учетом кредитного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57"/>
    <w:bookmarkStart w:name="z90" w:id="58"/>
    <w:p>
      <w:pPr>
        <w:spacing w:after="0"/>
        <w:ind w:left="0"/>
        <w:jc w:val="both"/>
      </w:pPr>
      <w:r>
        <w:rPr>
          <w:rFonts w:ascii="Times New Roman"/>
          <w:b w:val="false"/>
          <w:i w:val="false"/>
          <w:color w:val="000000"/>
          <w:sz w:val="28"/>
        </w:rPr>
        <w:t xml:space="preserve">
      Расшифровку коэффициента текущей ликвидности К2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58"/>
    <w:bookmarkStart w:name="z91" w:id="59"/>
    <w:p>
      <w:pPr>
        <w:spacing w:after="0"/>
        <w:ind w:left="0"/>
        <w:jc w:val="both"/>
      </w:pPr>
      <w:r>
        <w:rPr>
          <w:rFonts w:ascii="Times New Roman"/>
          <w:b w:val="false"/>
          <w:i w:val="false"/>
          <w:color w:val="000000"/>
          <w:sz w:val="28"/>
        </w:rPr>
        <w:t xml:space="preserve">
      Отчет о выполнении пруденциальных нормативов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Национального Банка РК от 31.12.2019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Утратил силу постановлением Правления Агентства РК по регулированию и развитию финансового рынка от 07.04.2026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0"/>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312 "Об утверждении Правил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банка, находящегося в режиме консервации, стабилизационному банку, передачи стабилизационным банком активов и обязательств банку-приобретателю, а также виды активов и обязательств, подлежащих передаче стабилизационному банку" (зарегистрировано в Реестре государственной регистрации нормативных правовых актов под № 14785, опубликовано 16 февраля 2017 года в Эталонном контрольном банке нормативных правовых актов Республики Казахстан) следующие изменения:</w:t>
      </w:r>
    </w:p>
    <w:bookmarkEnd w:id="60"/>
    <w:bookmarkStart w:name="z184" w:id="61"/>
    <w:p>
      <w:pPr>
        <w:spacing w:after="0"/>
        <w:ind w:left="0"/>
        <w:jc w:val="both"/>
      </w:pPr>
      <w:r>
        <w:rPr>
          <w:rFonts w:ascii="Times New Roman"/>
          <w:b w:val="false"/>
          <w:i w:val="false"/>
          <w:color w:val="000000"/>
          <w:sz w:val="28"/>
        </w:rPr>
        <w:t>
      заголовок изложить в следующей редакции:</w:t>
      </w:r>
    </w:p>
    <w:bookmarkEnd w:id="61"/>
    <w:bookmarkStart w:name="z185" w:id="62"/>
    <w:p>
      <w:pPr>
        <w:spacing w:after="0"/>
        <w:ind w:left="0"/>
        <w:jc w:val="both"/>
      </w:pPr>
      <w:r>
        <w:rPr>
          <w:rFonts w:ascii="Times New Roman"/>
          <w:b w:val="false"/>
          <w:i w:val="false"/>
          <w:color w:val="000000"/>
          <w:sz w:val="28"/>
        </w:rPr>
        <w:t>
      "Об утверждении Правил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уполномоченным органом";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7" w:id="63"/>
    <w:p>
      <w:pPr>
        <w:spacing w:after="0"/>
        <w:ind w:left="0"/>
        <w:jc w:val="both"/>
      </w:pPr>
      <w:r>
        <w:rPr>
          <w:rFonts w:ascii="Times New Roman"/>
          <w:b w:val="false"/>
          <w:i w:val="false"/>
          <w:color w:val="000000"/>
          <w:sz w:val="28"/>
        </w:rPr>
        <w:t>
      "1. Утвердить прилагаемые Правила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уполномоченным органом.";</w:t>
      </w:r>
    </w:p>
    <w:bookmarkEnd w:id="63"/>
    <w:bookmarkStart w:name="z188"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банка, находящегося в режиме консервации, стабилизационному банку, передачи стабилизационным банком активов и обязательств банку-приобретателю, а также видах активов и обязательств, подлежащих передаче стабилизационному банку, утвержденных указанным постановлением:</w:t>
      </w:r>
    </w:p>
    <w:bookmarkEnd w:id="64"/>
    <w:bookmarkStart w:name="z189" w:id="65"/>
    <w:p>
      <w:pPr>
        <w:spacing w:after="0"/>
        <w:ind w:left="0"/>
        <w:jc w:val="both"/>
      </w:pPr>
      <w:r>
        <w:rPr>
          <w:rFonts w:ascii="Times New Roman"/>
          <w:b w:val="false"/>
          <w:i w:val="false"/>
          <w:color w:val="000000"/>
          <w:sz w:val="28"/>
        </w:rPr>
        <w:t>
      заголовок изложить в следующей редакции:</w:t>
      </w:r>
    </w:p>
    <w:bookmarkEnd w:id="65"/>
    <w:bookmarkStart w:name="z190" w:id="66"/>
    <w:p>
      <w:pPr>
        <w:spacing w:after="0"/>
        <w:ind w:left="0"/>
        <w:jc w:val="both"/>
      </w:pPr>
      <w:r>
        <w:rPr>
          <w:rFonts w:ascii="Times New Roman"/>
          <w:b w:val="false"/>
          <w:i w:val="false"/>
          <w:color w:val="000000"/>
          <w:sz w:val="28"/>
        </w:rPr>
        <w:t>
      "Правила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уполномоченным органом";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92" w:id="67"/>
    <w:p>
      <w:pPr>
        <w:spacing w:after="0"/>
        <w:ind w:left="0"/>
        <w:jc w:val="both"/>
      </w:pPr>
      <w:r>
        <w:rPr>
          <w:rFonts w:ascii="Times New Roman"/>
          <w:b w:val="false"/>
          <w:i w:val="false"/>
          <w:color w:val="000000"/>
          <w:sz w:val="28"/>
        </w:rPr>
        <w:t xml:space="preserve">
      "1. Настоящие Правила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уполномоченным органом,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определяют порядок управления стабилизационным банком, заключения сделок, в отношении совершения которых установлены особые условия, условия и порядок проведения операции по передаче активов и обязательств неплатежеспособного банка (далее – банк) стабилизационному банку, передачи стабилизационным банком активов и обязательств другому банку (далее – банк-приобретатель), определяемому уполномоченным органом по регулированию, контролю и надзору финансового рынка и финансовых организаций (далее – уполномоченный орган).</w:t>
      </w:r>
    </w:p>
    <w:bookmarkEnd w:id="67"/>
    <w:bookmarkStart w:name="z193" w:id="68"/>
    <w:p>
      <w:pPr>
        <w:spacing w:after="0"/>
        <w:ind w:left="0"/>
        <w:jc w:val="both"/>
      </w:pPr>
      <w:r>
        <w:rPr>
          <w:rFonts w:ascii="Times New Roman"/>
          <w:b w:val="false"/>
          <w:i w:val="false"/>
          <w:color w:val="000000"/>
          <w:sz w:val="28"/>
        </w:rPr>
        <w:t>
      2. Временная администрация по управлению банком (временный управляющий банком) обращается в уполномоченный орган для проведения операции по передаче активов и обязательств банка стабилизационному банку, в том числе в случае невозможности осуществления операции по одновременной передаче активов и обязательств банка в части или полном размере другому (другим) банку (банкам).</w:t>
      </w:r>
    </w:p>
    <w:bookmarkEnd w:id="68"/>
    <w:bookmarkStart w:name="z194" w:id="69"/>
    <w:p>
      <w:pPr>
        <w:spacing w:after="0"/>
        <w:ind w:left="0"/>
        <w:jc w:val="both"/>
      </w:pPr>
      <w:r>
        <w:rPr>
          <w:rFonts w:ascii="Times New Roman"/>
          <w:b w:val="false"/>
          <w:i w:val="false"/>
          <w:color w:val="000000"/>
          <w:sz w:val="28"/>
        </w:rPr>
        <w:t>
      3. Временная администрация по управлению банком (временный управляющий банком) проводит оценку активов и разрабатывает план деятельности стабилизационного банка.";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196" w:id="70"/>
    <w:p>
      <w:pPr>
        <w:spacing w:after="0"/>
        <w:ind w:left="0"/>
        <w:jc w:val="both"/>
      </w:pPr>
      <w:r>
        <w:rPr>
          <w:rFonts w:ascii="Times New Roman"/>
          <w:b w:val="false"/>
          <w:i w:val="false"/>
          <w:color w:val="000000"/>
          <w:sz w:val="28"/>
        </w:rPr>
        <w:t xml:space="preserve">
      "3) исполнение обязательств с учетом требований, установленных пунктом 4 статьи 61-12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70"/>
    <w:bookmarkStart w:name="z197" w:id="7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1"/>
    <w:bookmarkStart w:name="z198" w:id="72"/>
    <w:p>
      <w:pPr>
        <w:spacing w:after="0"/>
        <w:ind w:left="0"/>
        <w:jc w:val="both"/>
      </w:pPr>
      <w:r>
        <w:rPr>
          <w:rFonts w:ascii="Times New Roman"/>
          <w:b w:val="false"/>
          <w:i w:val="false"/>
          <w:color w:val="000000"/>
          <w:sz w:val="28"/>
        </w:rPr>
        <w:t>
      "Глава 3. Условия и порядок осуществления операции по передаче активов и обязательств неплатежеспособного банка стабилизационному банку";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201" w:id="73"/>
    <w:p>
      <w:pPr>
        <w:spacing w:after="0"/>
        <w:ind w:left="0"/>
        <w:jc w:val="both"/>
      </w:pPr>
      <w:r>
        <w:rPr>
          <w:rFonts w:ascii="Times New Roman"/>
          <w:b w:val="false"/>
          <w:i w:val="false"/>
          <w:color w:val="000000"/>
          <w:sz w:val="28"/>
        </w:rPr>
        <w:t>
      "17. После определения стабилизационным банком объема принимаемых активов и обязательств между стабилизационным банком и банком подписывается договор передачи активов и обязательств в двух экземплярах на казахском и русском языках с приложением передаточного акта.</w:t>
      </w:r>
    </w:p>
    <w:bookmarkEnd w:id="73"/>
    <w:bookmarkStart w:name="z202" w:id="74"/>
    <w:p>
      <w:pPr>
        <w:spacing w:after="0"/>
        <w:ind w:left="0"/>
        <w:jc w:val="both"/>
      </w:pPr>
      <w:r>
        <w:rPr>
          <w:rFonts w:ascii="Times New Roman"/>
          <w:b w:val="false"/>
          <w:i w:val="false"/>
          <w:color w:val="000000"/>
          <w:sz w:val="28"/>
        </w:rPr>
        <w:t>
      При оформлении передаточного акта на дату осуществления операции по передаче активов и обязательств банка стабилизационному банку в нем указываются следующие сведения:</w:t>
      </w:r>
    </w:p>
    <w:bookmarkEnd w:id="74"/>
    <w:bookmarkStart w:name="z203" w:id="75"/>
    <w:p>
      <w:pPr>
        <w:spacing w:after="0"/>
        <w:ind w:left="0"/>
        <w:jc w:val="both"/>
      </w:pPr>
      <w:r>
        <w:rPr>
          <w:rFonts w:ascii="Times New Roman"/>
          <w:b w:val="false"/>
          <w:i w:val="false"/>
          <w:color w:val="000000"/>
          <w:sz w:val="28"/>
        </w:rPr>
        <w:t>
      размер и перечень передаваемых активов банка с указанием наименования, инвентарного номера (при наличии), балансовой стоимости, номеров банковских счетов (при необходимости), на которых учтены активы банка, документов, подтверждающих право собственности банка (при необходимости);</w:t>
      </w:r>
    </w:p>
    <w:bookmarkEnd w:id="75"/>
    <w:bookmarkStart w:name="z204" w:id="76"/>
    <w:p>
      <w:pPr>
        <w:spacing w:after="0"/>
        <w:ind w:left="0"/>
        <w:jc w:val="both"/>
      </w:pPr>
      <w:r>
        <w:rPr>
          <w:rFonts w:ascii="Times New Roman"/>
          <w:b w:val="false"/>
          <w:i w:val="false"/>
          <w:color w:val="000000"/>
          <w:sz w:val="28"/>
        </w:rPr>
        <w:t>
      стоимость и перечень передаваемых прав требований по банковским займам с указанием фамилии, имени, отчества (при его наличии) заемщика-физического лица, наименования заемщика-юридического лица, основного долга по займам, дат заключения и номеров договоров банковских займов, срока действия договоров банковских займов, ставок вознаграждения по банковским займам, начисленных и полученных банком сумм вознаграждения по банковским займам;</w:t>
      </w:r>
    </w:p>
    <w:bookmarkEnd w:id="76"/>
    <w:bookmarkStart w:name="z205" w:id="77"/>
    <w:p>
      <w:pPr>
        <w:spacing w:after="0"/>
        <w:ind w:left="0"/>
        <w:jc w:val="both"/>
      </w:pPr>
      <w:r>
        <w:rPr>
          <w:rFonts w:ascii="Times New Roman"/>
          <w:b w:val="false"/>
          <w:i w:val="false"/>
          <w:color w:val="000000"/>
          <w:sz w:val="28"/>
        </w:rPr>
        <w:t>
      перечень и размер передаваемых обязательств, в том числе по депозитам с указанием фамилии, имени, отчества (при его наличии) депозиторов-физических лиц, наименования депозиторов-юридических лиц, номеров банковских счетов, на которых учтены суммы депозитов, суммы депозита, даты заключения и номера договора банковского счета и (или) банковского вклада, срока действия договора, ставки вознаграждения по вкладу;</w:t>
      </w:r>
    </w:p>
    <w:bookmarkEnd w:id="77"/>
    <w:bookmarkStart w:name="z206" w:id="78"/>
    <w:p>
      <w:pPr>
        <w:spacing w:after="0"/>
        <w:ind w:left="0"/>
        <w:jc w:val="both"/>
      </w:pPr>
      <w:r>
        <w:rPr>
          <w:rFonts w:ascii="Times New Roman"/>
          <w:b w:val="false"/>
          <w:i w:val="false"/>
          <w:color w:val="000000"/>
          <w:sz w:val="28"/>
        </w:rPr>
        <w:t>
      перечень передаваемых баз данных (в том числе архивных хранилищ документов в бумажной форме), в которых содержится информация о клиентах, их операциях и операциях банка, первичные документы, история взаимоотношений с клиентами и иная информация, необходимая для надлежащего исполнения прав и обязательств по принимаемым активам и обязательствам.</w:t>
      </w:r>
    </w:p>
    <w:bookmarkEnd w:id="78"/>
    <w:bookmarkStart w:name="z207" w:id="79"/>
    <w:p>
      <w:pPr>
        <w:spacing w:after="0"/>
        <w:ind w:left="0"/>
        <w:jc w:val="both"/>
      </w:pPr>
      <w:r>
        <w:rPr>
          <w:rFonts w:ascii="Times New Roman"/>
          <w:b w:val="false"/>
          <w:i w:val="false"/>
          <w:color w:val="000000"/>
          <w:sz w:val="28"/>
        </w:rPr>
        <w:t xml:space="preserve">
      18. Передача обязательств банка в стабилизационный банк осуществляется с соблюдением с очередности удовлетворения требований кредиторов,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24 изложить в следующей редакции:</w:t>
      </w:r>
    </w:p>
    <w:bookmarkStart w:name="z209" w:id="80"/>
    <w:p>
      <w:pPr>
        <w:spacing w:after="0"/>
        <w:ind w:left="0"/>
        <w:jc w:val="both"/>
      </w:pPr>
      <w:r>
        <w:rPr>
          <w:rFonts w:ascii="Times New Roman"/>
          <w:b w:val="false"/>
          <w:i w:val="false"/>
          <w:color w:val="000000"/>
          <w:sz w:val="28"/>
        </w:rPr>
        <w:t xml:space="preserve">
      "3) не имеет неисполненных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от 5 июля 2014 года, мер надзорного реагирования (кроме рекомендательных мер надзорного реагирования) и санкций, примененных уполномоченным органом, на дату подачи заявок;".</w:t>
      </w:r>
    </w:p>
    <w:bookmarkEnd w:id="80"/>
    <w:bookmarkStart w:name="z210" w:id="81"/>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иных факторов, влияющих на ухудшение финансового положения страховой (перестраховочной) организации и страховой группы, а также утверждении Правил применения мер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(зарегистрировано в Реестре государственной регистрации нормативных правовых актов под № 16944, опубликовано 6 июня 2018 года в Эталонном контрольном банке нормативных правовых актов Республики Казахстан) следующие изменения:</w:t>
      </w:r>
    </w:p>
    <w:bookmarkEnd w:id="81"/>
    <w:bookmarkStart w:name="z211" w:id="82"/>
    <w:p>
      <w:pPr>
        <w:spacing w:after="0"/>
        <w:ind w:left="0"/>
        <w:jc w:val="both"/>
      </w:pPr>
      <w:r>
        <w:rPr>
          <w:rFonts w:ascii="Times New Roman"/>
          <w:b w:val="false"/>
          <w:i w:val="false"/>
          <w:color w:val="000000"/>
          <w:sz w:val="28"/>
        </w:rPr>
        <w:t>
      заголовок изложить в следующей редакции:</w:t>
      </w:r>
    </w:p>
    <w:bookmarkEnd w:id="82"/>
    <w:bookmarkStart w:name="z212" w:id="83"/>
    <w:p>
      <w:pPr>
        <w:spacing w:after="0"/>
        <w:ind w:left="0"/>
        <w:jc w:val="both"/>
      </w:pPr>
      <w:r>
        <w:rPr>
          <w:rFonts w:ascii="Times New Roman"/>
          <w:b w:val="false"/>
          <w:i w:val="false"/>
          <w:color w:val="000000"/>
          <w:sz w:val="28"/>
        </w:rPr>
        <w:t>
      "Об установлении факторов, влияющих на ухудшение финансового положения страховой (перестраховочной) организации и страховой группы,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14" w:id="84"/>
    <w:p>
      <w:pPr>
        <w:spacing w:after="0"/>
        <w:ind w:left="0"/>
        <w:jc w:val="both"/>
      </w:pPr>
      <w:r>
        <w:rPr>
          <w:rFonts w:ascii="Times New Roman"/>
          <w:b w:val="false"/>
          <w:i w:val="false"/>
          <w:color w:val="000000"/>
          <w:sz w:val="28"/>
        </w:rPr>
        <w:t>
      "1. Установить следующие факторы, влияющие на ухудшение финансового положения страховой (перестраховочной) организации:</w:t>
      </w:r>
    </w:p>
    <w:bookmarkEnd w:id="84"/>
    <w:bookmarkStart w:name="z215" w:id="85"/>
    <w:p>
      <w:pPr>
        <w:spacing w:after="0"/>
        <w:ind w:left="0"/>
        <w:jc w:val="both"/>
      </w:pPr>
      <w:r>
        <w:rPr>
          <w:rFonts w:ascii="Times New Roman"/>
          <w:b w:val="false"/>
          <w:i w:val="false"/>
          <w:color w:val="000000"/>
          <w:sz w:val="28"/>
        </w:rPr>
        <w:t>
      1) снижение норматива достаточности маржи платежеспособности страховой (перестраховочной) организации;</w:t>
      </w:r>
    </w:p>
    <w:bookmarkEnd w:id="85"/>
    <w:bookmarkStart w:name="z216" w:id="86"/>
    <w:p>
      <w:pPr>
        <w:spacing w:after="0"/>
        <w:ind w:left="0"/>
        <w:jc w:val="both"/>
      </w:pPr>
      <w:r>
        <w:rPr>
          <w:rFonts w:ascii="Times New Roman"/>
          <w:b w:val="false"/>
          <w:i w:val="false"/>
          <w:color w:val="000000"/>
          <w:sz w:val="28"/>
        </w:rPr>
        <w:t>
      2) снижение норматива достаточности высоколиквидных активов страховой (перестраховочной) организации;</w:t>
      </w:r>
    </w:p>
    <w:bookmarkEnd w:id="86"/>
    <w:bookmarkStart w:name="z217" w:id="87"/>
    <w:p>
      <w:pPr>
        <w:spacing w:after="0"/>
        <w:ind w:left="0"/>
        <w:jc w:val="both"/>
      </w:pPr>
      <w:r>
        <w:rPr>
          <w:rFonts w:ascii="Times New Roman"/>
          <w:b w:val="false"/>
          <w:i w:val="false"/>
          <w:color w:val="000000"/>
          <w:sz w:val="28"/>
        </w:rPr>
        <w:t>
      3) недостаток активов с учетом их классификации по качеству и ликвидности для покрытия общей суммы страховых резервов;</w:t>
      </w:r>
    </w:p>
    <w:bookmarkEnd w:id="87"/>
    <w:bookmarkStart w:name="z218" w:id="88"/>
    <w:p>
      <w:pPr>
        <w:spacing w:after="0"/>
        <w:ind w:left="0"/>
        <w:jc w:val="both"/>
      </w:pPr>
      <w:r>
        <w:rPr>
          <w:rFonts w:ascii="Times New Roman"/>
          <w:b w:val="false"/>
          <w:i w:val="false"/>
          <w:color w:val="000000"/>
          <w:sz w:val="28"/>
        </w:rPr>
        <w:t>
      4) достаточность суммы требуемого капитала для покрытия валютного риска;</w:t>
      </w:r>
    </w:p>
    <w:bookmarkEnd w:id="88"/>
    <w:bookmarkStart w:name="z219" w:id="89"/>
    <w:p>
      <w:pPr>
        <w:spacing w:after="0"/>
        <w:ind w:left="0"/>
        <w:jc w:val="both"/>
      </w:pPr>
      <w:r>
        <w:rPr>
          <w:rFonts w:ascii="Times New Roman"/>
          <w:b w:val="false"/>
          <w:i w:val="false"/>
          <w:color w:val="000000"/>
          <w:sz w:val="28"/>
        </w:rPr>
        <w:t>
      5) увеличение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агентств Moody's Investors Service или Fitch (далее - другие рейтинговые агентства), и аффилиированных лицах данных банков;</w:t>
      </w:r>
    </w:p>
    <w:bookmarkEnd w:id="89"/>
    <w:bookmarkStart w:name="z220" w:id="90"/>
    <w:p>
      <w:pPr>
        <w:spacing w:after="0"/>
        <w:ind w:left="0"/>
        <w:jc w:val="both"/>
      </w:pPr>
      <w:r>
        <w:rPr>
          <w:rFonts w:ascii="Times New Roman"/>
          <w:b w:val="false"/>
          <w:i w:val="false"/>
          <w:color w:val="000000"/>
          <w:sz w:val="28"/>
        </w:rPr>
        <w:t>
      6) увеличение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данного банка;</w:t>
      </w:r>
    </w:p>
    <w:bookmarkEnd w:id="90"/>
    <w:bookmarkStart w:name="z221" w:id="91"/>
    <w:p>
      <w:pPr>
        <w:spacing w:after="0"/>
        <w:ind w:left="0"/>
        <w:jc w:val="both"/>
      </w:pPr>
      <w:r>
        <w:rPr>
          <w:rFonts w:ascii="Times New Roman"/>
          <w:b w:val="false"/>
          <w:i w:val="false"/>
          <w:color w:val="000000"/>
          <w:sz w:val="28"/>
        </w:rPr>
        <w:t>
      7) убыточная деятельность страховой (перестраховочной) организации;</w:t>
      </w:r>
    </w:p>
    <w:bookmarkEnd w:id="91"/>
    <w:bookmarkStart w:name="z222" w:id="92"/>
    <w:p>
      <w:pPr>
        <w:spacing w:after="0"/>
        <w:ind w:left="0"/>
        <w:jc w:val="both"/>
      </w:pPr>
      <w:r>
        <w:rPr>
          <w:rFonts w:ascii="Times New Roman"/>
          <w:b w:val="false"/>
          <w:i w:val="false"/>
          <w:color w:val="000000"/>
          <w:sz w:val="28"/>
        </w:rPr>
        <w:t>
      8) увеличение комбинированного коэффициента без учета доли перестраховщика;</w:t>
      </w:r>
    </w:p>
    <w:bookmarkEnd w:id="92"/>
    <w:bookmarkStart w:name="z223" w:id="93"/>
    <w:p>
      <w:pPr>
        <w:spacing w:after="0"/>
        <w:ind w:left="0"/>
        <w:jc w:val="both"/>
      </w:pPr>
      <w:r>
        <w:rPr>
          <w:rFonts w:ascii="Times New Roman"/>
          <w:b w:val="false"/>
          <w:i w:val="false"/>
          <w:color w:val="000000"/>
          <w:sz w:val="28"/>
        </w:rPr>
        <w:t>
      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к сумме доходов страховой (перестраховочной) организации, уменьшенной на сумму расходов, связанных с расторжением договора страхования (перестрахования);</w:t>
      </w:r>
    </w:p>
    <w:bookmarkEnd w:id="93"/>
    <w:bookmarkStart w:name="z224" w:id="94"/>
    <w:p>
      <w:pPr>
        <w:spacing w:after="0"/>
        <w:ind w:left="0"/>
        <w:jc w:val="both"/>
      </w:pPr>
      <w:r>
        <w:rPr>
          <w:rFonts w:ascii="Times New Roman"/>
          <w:b w:val="false"/>
          <w:i w:val="false"/>
          <w:color w:val="000000"/>
          <w:sz w:val="28"/>
        </w:rPr>
        <w:t>
      10) превышение соотношения общей суммы просроченной дебиторской задолженности по договорам страхования и перестрахования (за вычетом резервов на обесценение) к сумме активов страховой (перестраховочной) организации за минусом активов перестрахования.</w:t>
      </w:r>
    </w:p>
    <w:bookmarkEnd w:id="94"/>
    <w:bookmarkStart w:name="z225" w:id="95"/>
    <w:p>
      <w:pPr>
        <w:spacing w:after="0"/>
        <w:ind w:left="0"/>
        <w:jc w:val="both"/>
      </w:pPr>
      <w:r>
        <w:rPr>
          <w:rFonts w:ascii="Times New Roman"/>
          <w:b w:val="false"/>
          <w:i w:val="false"/>
          <w:color w:val="000000"/>
          <w:sz w:val="28"/>
        </w:rPr>
        <w:t>
      2. Установить следующие факторы, влияющие на ухудшение финансового положения страховой группы:</w:t>
      </w:r>
    </w:p>
    <w:bookmarkEnd w:id="95"/>
    <w:bookmarkStart w:name="z226" w:id="96"/>
    <w:p>
      <w:pPr>
        <w:spacing w:after="0"/>
        <w:ind w:left="0"/>
        <w:jc w:val="both"/>
      </w:pPr>
      <w:r>
        <w:rPr>
          <w:rFonts w:ascii="Times New Roman"/>
          <w:b w:val="false"/>
          <w:i w:val="false"/>
          <w:color w:val="000000"/>
          <w:sz w:val="28"/>
        </w:rPr>
        <w:t>
      1) снижение норматива достаточности маржи платежеспособности страховой группы;</w:t>
      </w:r>
    </w:p>
    <w:bookmarkEnd w:id="96"/>
    <w:bookmarkStart w:name="z227" w:id="97"/>
    <w:p>
      <w:pPr>
        <w:spacing w:after="0"/>
        <w:ind w:left="0"/>
        <w:jc w:val="both"/>
      </w:pPr>
      <w:r>
        <w:rPr>
          <w:rFonts w:ascii="Times New Roman"/>
          <w:b w:val="false"/>
          <w:i w:val="false"/>
          <w:color w:val="000000"/>
          <w:sz w:val="28"/>
        </w:rPr>
        <w:t>
      2) снижение собственного капитала по балансу участника (участников) страховой группы ниже размера их уставного капитала по балансу;</w:t>
      </w:r>
    </w:p>
    <w:bookmarkEnd w:id="97"/>
    <w:bookmarkStart w:name="z228" w:id="98"/>
    <w:p>
      <w:pPr>
        <w:spacing w:after="0"/>
        <w:ind w:left="0"/>
        <w:jc w:val="both"/>
      </w:pPr>
      <w:r>
        <w:rPr>
          <w:rFonts w:ascii="Times New Roman"/>
          <w:b w:val="false"/>
          <w:i w:val="false"/>
          <w:color w:val="000000"/>
          <w:sz w:val="28"/>
        </w:rPr>
        <w:t>
      3) превышение объема сделок между участниками страховой группы.";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230" w:id="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одобрения плана мероприятий, предусматривающего меры раннего реагирования, согласно приложению 1 к настоящему постановлению;";</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мер раннего реагирования, утвержденные указанным постановлением,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Start w:name="z232"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страховой (перестраховочной) организации (страховой группы), утвержденной указанным постановлением: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 исключить.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 и дополнение</w:t>
            </w:r>
          </w:p>
        </w:tc>
      </w:tr>
    </w:tbl>
    <w:bookmarkStart w:name="z244" w:id="101"/>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по выбору банка-агента</w:t>
      </w:r>
    </w:p>
    <w:bookmarkEnd w:id="101"/>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19.11.2019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 и дополнение</w:t>
            </w:r>
            <w:r>
              <w:br/>
            </w:r>
            <w:r>
              <w:rPr>
                <w:rFonts w:ascii="Times New Roman"/>
                <w:b w:val="false"/>
                <w:i w:val="false"/>
                <w:color w:val="000000"/>
                <w:sz w:val="20"/>
              </w:rPr>
              <w:t>Приложение 1</w:t>
            </w:r>
            <w:r>
              <w:br/>
            </w:r>
            <w:r>
              <w:rPr>
                <w:rFonts w:ascii="Times New Roman"/>
                <w:b w:val="false"/>
                <w:i w:val="false"/>
                <w:color w:val="000000"/>
                <w:sz w:val="20"/>
              </w:rPr>
              <w:t>к Правилам и методикам</w:t>
            </w:r>
            <w:r>
              <w:br/>
            </w:r>
            <w:r>
              <w:rPr>
                <w:rFonts w:ascii="Times New Roman"/>
                <w:b w:val="false"/>
                <w:i w:val="false"/>
                <w:color w:val="000000"/>
                <w:sz w:val="20"/>
              </w:rPr>
              <w:t>расчета значений пруденциальных</w:t>
            </w:r>
            <w:r>
              <w:br/>
            </w:r>
            <w:r>
              <w:rPr>
                <w:rFonts w:ascii="Times New Roman"/>
                <w:b w:val="false"/>
                <w:i w:val="false"/>
                <w:color w:val="000000"/>
                <w:sz w:val="20"/>
              </w:rPr>
              <w:t>нормативов для организатора торгов</w:t>
            </w:r>
          </w:p>
        </w:tc>
      </w:tr>
    </w:tbl>
    <w:bookmarkStart w:name="z253" w:id="102"/>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Таблица активов организатора торгов, взвешенных по степени</w:t>
      </w:r>
      <w:r>
        <w:br/>
      </w:r>
      <w:r>
        <w:rPr>
          <w:rFonts w:ascii="Times New Roman"/>
          <w:b/>
          <w:i w:val="false"/>
          <w:color w:val="000000"/>
        </w:rPr>
        <w:t>кредитного риска вложений</w:t>
      </w:r>
    </w:p>
    <w:bookmarkEnd w:id="102"/>
    <w:bookmarkStart w:name="z255" w:id="103"/>
    <w:p>
      <w:pPr>
        <w:spacing w:after="0"/>
        <w:ind w:left="0"/>
        <w:jc w:val="left"/>
      </w:pPr>
      <w:r>
        <w:rPr>
          <w:rFonts w:ascii="Times New Roman"/>
          <w:b/>
          <w:i w:val="false"/>
          <w:color w:val="000000"/>
        </w:rPr>
        <w:t xml:space="preserve"> Отчетный период: по состоянию на "____" ________________ 20___ года</w:t>
      </w:r>
    </w:p>
    <w:bookmarkEnd w:id="103"/>
    <w:p>
      <w:pPr>
        <w:spacing w:after="0"/>
        <w:ind w:left="0"/>
        <w:jc w:val="both"/>
      </w:pPr>
      <w:bookmarkStart w:name="z256" w:id="104"/>
      <w:r>
        <w:rPr>
          <w:rFonts w:ascii="Times New Roman"/>
          <w:b w:val="false"/>
          <w:i w:val="false"/>
          <w:color w:val="000000"/>
          <w:sz w:val="28"/>
        </w:rPr>
        <w:t>
      Индекс: ТА-1_ОТ</w:t>
      </w:r>
    </w:p>
    <w:bookmarkEnd w:id="104"/>
    <w:p>
      <w:pPr>
        <w:spacing w:after="0"/>
        <w:ind w:left="0"/>
        <w:jc w:val="both"/>
      </w:pPr>
      <w:r>
        <w:rPr>
          <w:rFonts w:ascii="Times New Roman"/>
          <w:b w:val="false"/>
          <w:i w:val="false"/>
          <w:color w:val="000000"/>
          <w:sz w:val="28"/>
        </w:rPr>
        <w:t xml:space="preserve">       Периодичность: ежеквартальная</w:t>
      </w:r>
    </w:p>
    <w:p>
      <w:pPr>
        <w:spacing w:after="0"/>
        <w:ind w:left="0"/>
        <w:jc w:val="both"/>
      </w:pPr>
      <w:r>
        <w:rPr>
          <w:rFonts w:ascii="Times New Roman"/>
          <w:b w:val="false"/>
          <w:i w:val="false"/>
          <w:color w:val="000000"/>
          <w:sz w:val="28"/>
        </w:rPr>
        <w:t xml:space="preserve">       Представляет: организатор торгов</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2" w:id="105"/>
      <w:r>
        <w:rPr>
          <w:rFonts w:ascii="Times New Roman"/>
          <w:b w:val="false"/>
          <w:i w:val="false"/>
          <w:color w:val="000000"/>
          <w:sz w:val="28"/>
        </w:rPr>
        <w:t>
      ___________________________________________________</w:t>
      </w:r>
    </w:p>
    <w:bookmarkEnd w:id="105"/>
    <w:p>
      <w:pPr>
        <w:spacing w:after="0"/>
        <w:ind w:left="0"/>
        <w:jc w:val="both"/>
      </w:pPr>
      <w:r>
        <w:rPr>
          <w:rFonts w:ascii="Times New Roman"/>
          <w:b w:val="false"/>
          <w:i w:val="false"/>
          <w:color w:val="000000"/>
          <w:sz w:val="28"/>
        </w:rPr>
        <w:t>наименование организатора торгов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"Фонд национального благосостояния "Самрук-Казына"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рейтинга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"Банк Развития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организациях-резидентах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Республики Казахстан,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организатора торгов и соответствующее Международному стандарту финансовой отчетности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6"/>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w:t>
            </w:r>
          </w:p>
          <w:bookmarkEnd w:id="106"/>
          <w:p>
            <w:pPr>
              <w:spacing w:after="20"/>
              <w:ind w:left="20"/>
              <w:jc w:val="both"/>
            </w:pPr>
            <w:r>
              <w:rPr>
                <w:rFonts w:ascii="Times New Roman"/>
                <w:b w:val="false"/>
                <w:i w:val="false"/>
                <w:color w:val="000000"/>
                <w:sz w:val="20"/>
              </w:rPr>
              <w:t>
"ВВ-" агентства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 указанных в примечании к настоящему приложению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7"/>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w:t>
            </w:r>
          </w:p>
          <w:bookmarkEnd w:id="107"/>
          <w:p>
            <w:pPr>
              <w:spacing w:after="20"/>
              <w:ind w:left="20"/>
              <w:jc w:val="both"/>
            </w:pPr>
            <w:r>
              <w:rPr>
                <w:rFonts w:ascii="Times New Roman"/>
                <w:b w:val="false"/>
                <w:i w:val="false"/>
                <w:color w:val="000000"/>
                <w:sz w:val="20"/>
              </w:rPr>
              <w:t>
"ВВ-" агентства Standard &amp; Poor's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 указанных в примечании к настоящему приложению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имеющие рейтинговую оценку ниже уровня, указанного в строке 51 настоящей формы, а также не имеющие рейтинговую оценку, включенные в сектор "долговые ценные бумаги" площадки "Основная"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8"/>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соответствующие следующим требованиям:</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 долговых ценных бумаг составляет финансовую отчетность в соответствии с МСФО или СФО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 финансовой отчетности эмитента долговых ценных бумаг, составленной в соответствии с требованиями подпункта 1 настоящей строки, производится одной из аудиторских организаций, входящих в перечень признаваемых фондовой биржей аудиторских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эмитентом долговых ценных бумаг представлялась фондовой бирже финансовая отчетность эмитента, подтвержденная аудиторским отчетом, или отчет аудитора по обзору промежуточной финансовой информации (полного комплекта промежуточной финансовой отчетности эмитента) за периоды, установленные внутренними документами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кодекса корпоративного управления, утвержденного общим собранием акционеров эмитента долговых ценных бумаг;</w:t>
            </w:r>
          </w:p>
          <w:p>
            <w:pPr>
              <w:spacing w:after="20"/>
              <w:ind w:left="20"/>
              <w:jc w:val="both"/>
            </w:pPr>
            <w:r>
              <w:rPr>
                <w:rFonts w:ascii="Times New Roman"/>
                <w:b w:val="false"/>
                <w:i w:val="false"/>
                <w:color w:val="000000"/>
                <w:sz w:val="20"/>
              </w:rPr>
              <w:t>
5)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1" w:id="109"/>
      <w:r>
        <w:rPr>
          <w:rFonts w:ascii="Times New Roman"/>
          <w:b w:val="false"/>
          <w:i w:val="false"/>
          <w:color w:val="000000"/>
          <w:sz w:val="28"/>
        </w:rPr>
        <w:t>
      Первый руководитель или лицо, уполномоченное на подписание отчета</w:t>
      </w:r>
    </w:p>
    <w:bookmarkEnd w:id="109"/>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             _______________</w:t>
      </w:r>
    </w:p>
    <w:p>
      <w:pPr>
        <w:spacing w:after="0"/>
        <w:ind w:left="0"/>
        <w:jc w:val="both"/>
      </w:pPr>
      <w:r>
        <w:rPr>
          <w:rFonts w:ascii="Times New Roman"/>
          <w:b w:val="false"/>
          <w:i w:val="false"/>
          <w:color w:val="000000"/>
          <w:sz w:val="28"/>
        </w:rPr>
        <w:t>(подпись)                   (номер телефона)</w:t>
      </w:r>
    </w:p>
    <w:p>
      <w:pPr>
        <w:spacing w:after="0"/>
        <w:ind w:left="0"/>
        <w:jc w:val="both"/>
      </w:pPr>
      <w:r>
        <w:rPr>
          <w:rFonts w:ascii="Times New Roman"/>
          <w:b w:val="false"/>
          <w:i w:val="false"/>
          <w:color w:val="000000"/>
          <w:sz w:val="28"/>
        </w:rPr>
        <w:t>Дата подписания отчета "_____" _______________ 20 ___ года</w:t>
      </w:r>
    </w:p>
    <w:bookmarkStart w:name="z272" w:id="110"/>
    <w:p>
      <w:pPr>
        <w:spacing w:after="0"/>
        <w:ind w:left="0"/>
        <w:jc w:val="both"/>
      </w:pPr>
      <w:r>
        <w:rPr>
          <w:rFonts w:ascii="Times New Roman"/>
          <w:b w:val="false"/>
          <w:i w:val="false"/>
          <w:color w:val="000000"/>
          <w:sz w:val="28"/>
        </w:rPr>
        <w:t>
      Примечание:</w:t>
      </w:r>
    </w:p>
    <w:bookmarkEnd w:id="110"/>
    <w:bookmarkStart w:name="z273" w:id="111"/>
    <w:p>
      <w:pPr>
        <w:spacing w:after="0"/>
        <w:ind w:left="0"/>
        <w:jc w:val="both"/>
      </w:pPr>
      <w:r>
        <w:rPr>
          <w:rFonts w:ascii="Times New Roman"/>
          <w:b w:val="false"/>
          <w:i w:val="false"/>
          <w:color w:val="000000"/>
          <w:sz w:val="28"/>
        </w:rPr>
        <w:t>
      Перечень иностранных государств:</w:t>
      </w:r>
    </w:p>
    <w:bookmarkEnd w:id="111"/>
    <w:bookmarkStart w:name="z274" w:id="112"/>
    <w:p>
      <w:pPr>
        <w:spacing w:after="0"/>
        <w:ind w:left="0"/>
        <w:jc w:val="both"/>
      </w:pPr>
      <w:r>
        <w:rPr>
          <w:rFonts w:ascii="Times New Roman"/>
          <w:b w:val="false"/>
          <w:i w:val="false"/>
          <w:color w:val="000000"/>
          <w:sz w:val="28"/>
        </w:rPr>
        <w:t>
      1) Княжество Андорра;</w:t>
      </w:r>
    </w:p>
    <w:bookmarkEnd w:id="112"/>
    <w:bookmarkStart w:name="z275" w:id="113"/>
    <w:p>
      <w:pPr>
        <w:spacing w:after="0"/>
        <w:ind w:left="0"/>
        <w:jc w:val="both"/>
      </w:pPr>
      <w:r>
        <w:rPr>
          <w:rFonts w:ascii="Times New Roman"/>
          <w:b w:val="false"/>
          <w:i w:val="false"/>
          <w:color w:val="000000"/>
          <w:sz w:val="28"/>
        </w:rPr>
        <w:t>
      2) Государство Антигуа и Барбуда;</w:t>
      </w:r>
    </w:p>
    <w:bookmarkEnd w:id="113"/>
    <w:bookmarkStart w:name="z276" w:id="114"/>
    <w:p>
      <w:pPr>
        <w:spacing w:after="0"/>
        <w:ind w:left="0"/>
        <w:jc w:val="both"/>
      </w:pPr>
      <w:r>
        <w:rPr>
          <w:rFonts w:ascii="Times New Roman"/>
          <w:b w:val="false"/>
          <w:i w:val="false"/>
          <w:color w:val="000000"/>
          <w:sz w:val="28"/>
        </w:rPr>
        <w:t>
      3) Содружество Багамских островов;</w:t>
      </w:r>
    </w:p>
    <w:bookmarkEnd w:id="114"/>
    <w:bookmarkStart w:name="z277" w:id="115"/>
    <w:p>
      <w:pPr>
        <w:spacing w:after="0"/>
        <w:ind w:left="0"/>
        <w:jc w:val="both"/>
      </w:pPr>
      <w:r>
        <w:rPr>
          <w:rFonts w:ascii="Times New Roman"/>
          <w:b w:val="false"/>
          <w:i w:val="false"/>
          <w:color w:val="000000"/>
          <w:sz w:val="28"/>
        </w:rPr>
        <w:t>
      4) Государство Барбадос;</w:t>
      </w:r>
    </w:p>
    <w:bookmarkEnd w:id="115"/>
    <w:bookmarkStart w:name="z278" w:id="116"/>
    <w:p>
      <w:pPr>
        <w:spacing w:after="0"/>
        <w:ind w:left="0"/>
        <w:jc w:val="both"/>
      </w:pPr>
      <w:r>
        <w:rPr>
          <w:rFonts w:ascii="Times New Roman"/>
          <w:b w:val="false"/>
          <w:i w:val="false"/>
          <w:color w:val="000000"/>
          <w:sz w:val="28"/>
        </w:rPr>
        <w:t>
      5) Государство Бахрейн;</w:t>
      </w:r>
    </w:p>
    <w:bookmarkEnd w:id="116"/>
    <w:bookmarkStart w:name="z279" w:id="117"/>
    <w:p>
      <w:pPr>
        <w:spacing w:after="0"/>
        <w:ind w:left="0"/>
        <w:jc w:val="both"/>
      </w:pPr>
      <w:r>
        <w:rPr>
          <w:rFonts w:ascii="Times New Roman"/>
          <w:b w:val="false"/>
          <w:i w:val="false"/>
          <w:color w:val="000000"/>
          <w:sz w:val="28"/>
        </w:rPr>
        <w:t>
      6) Государство Белиз;</w:t>
      </w:r>
    </w:p>
    <w:bookmarkEnd w:id="117"/>
    <w:bookmarkStart w:name="z280" w:id="118"/>
    <w:p>
      <w:pPr>
        <w:spacing w:after="0"/>
        <w:ind w:left="0"/>
        <w:jc w:val="both"/>
      </w:pPr>
      <w:r>
        <w:rPr>
          <w:rFonts w:ascii="Times New Roman"/>
          <w:b w:val="false"/>
          <w:i w:val="false"/>
          <w:color w:val="000000"/>
          <w:sz w:val="28"/>
        </w:rPr>
        <w:t>
      7) Государство Бруней Даруссалам;</w:t>
      </w:r>
    </w:p>
    <w:bookmarkEnd w:id="118"/>
    <w:bookmarkStart w:name="z281" w:id="119"/>
    <w:p>
      <w:pPr>
        <w:spacing w:after="0"/>
        <w:ind w:left="0"/>
        <w:jc w:val="both"/>
      </w:pPr>
      <w:r>
        <w:rPr>
          <w:rFonts w:ascii="Times New Roman"/>
          <w:b w:val="false"/>
          <w:i w:val="false"/>
          <w:color w:val="000000"/>
          <w:sz w:val="28"/>
        </w:rPr>
        <w:t>
      8) Республика Вануату;</w:t>
      </w:r>
    </w:p>
    <w:bookmarkEnd w:id="119"/>
    <w:bookmarkStart w:name="z282" w:id="120"/>
    <w:p>
      <w:pPr>
        <w:spacing w:after="0"/>
        <w:ind w:left="0"/>
        <w:jc w:val="both"/>
      </w:pPr>
      <w:r>
        <w:rPr>
          <w:rFonts w:ascii="Times New Roman"/>
          <w:b w:val="false"/>
          <w:i w:val="false"/>
          <w:color w:val="000000"/>
          <w:sz w:val="28"/>
        </w:rPr>
        <w:t>
      9) Республика Гватемала;</w:t>
      </w:r>
    </w:p>
    <w:bookmarkEnd w:id="120"/>
    <w:bookmarkStart w:name="z283" w:id="121"/>
    <w:p>
      <w:pPr>
        <w:spacing w:after="0"/>
        <w:ind w:left="0"/>
        <w:jc w:val="both"/>
      </w:pPr>
      <w:r>
        <w:rPr>
          <w:rFonts w:ascii="Times New Roman"/>
          <w:b w:val="false"/>
          <w:i w:val="false"/>
          <w:color w:val="000000"/>
          <w:sz w:val="28"/>
        </w:rPr>
        <w:t>
      10) Государство Гренада;</w:t>
      </w:r>
    </w:p>
    <w:bookmarkEnd w:id="121"/>
    <w:bookmarkStart w:name="z284" w:id="122"/>
    <w:p>
      <w:pPr>
        <w:spacing w:after="0"/>
        <w:ind w:left="0"/>
        <w:jc w:val="both"/>
      </w:pPr>
      <w:r>
        <w:rPr>
          <w:rFonts w:ascii="Times New Roman"/>
          <w:b w:val="false"/>
          <w:i w:val="false"/>
          <w:color w:val="000000"/>
          <w:sz w:val="28"/>
        </w:rPr>
        <w:t>
      11) Республика Джибути;</w:t>
      </w:r>
    </w:p>
    <w:bookmarkEnd w:id="122"/>
    <w:bookmarkStart w:name="z285" w:id="123"/>
    <w:p>
      <w:pPr>
        <w:spacing w:after="0"/>
        <w:ind w:left="0"/>
        <w:jc w:val="both"/>
      </w:pPr>
      <w:r>
        <w:rPr>
          <w:rFonts w:ascii="Times New Roman"/>
          <w:b w:val="false"/>
          <w:i w:val="false"/>
          <w:color w:val="000000"/>
          <w:sz w:val="28"/>
        </w:rPr>
        <w:t>
      12) Доминиканская Республика;</w:t>
      </w:r>
    </w:p>
    <w:bookmarkEnd w:id="123"/>
    <w:bookmarkStart w:name="z286" w:id="124"/>
    <w:p>
      <w:pPr>
        <w:spacing w:after="0"/>
        <w:ind w:left="0"/>
        <w:jc w:val="both"/>
      </w:pPr>
      <w:r>
        <w:rPr>
          <w:rFonts w:ascii="Times New Roman"/>
          <w:b w:val="false"/>
          <w:i w:val="false"/>
          <w:color w:val="000000"/>
          <w:sz w:val="28"/>
        </w:rPr>
        <w:t>
      13) Республика Индонезия;</w:t>
      </w:r>
    </w:p>
    <w:bookmarkEnd w:id="124"/>
    <w:bookmarkStart w:name="z287" w:id="125"/>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125"/>
    <w:bookmarkStart w:name="z288" w:id="126"/>
    <w:p>
      <w:pPr>
        <w:spacing w:after="0"/>
        <w:ind w:left="0"/>
        <w:jc w:val="both"/>
      </w:pPr>
      <w:r>
        <w:rPr>
          <w:rFonts w:ascii="Times New Roman"/>
          <w:b w:val="false"/>
          <w:i w:val="false"/>
          <w:color w:val="000000"/>
          <w:sz w:val="28"/>
        </w:rPr>
        <w:t>
      15) Республика Кипр;</w:t>
      </w:r>
    </w:p>
    <w:bookmarkEnd w:id="126"/>
    <w:bookmarkStart w:name="z289" w:id="127"/>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127"/>
    <w:bookmarkStart w:name="z290" w:id="128"/>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128"/>
    <w:bookmarkStart w:name="z291" w:id="129"/>
    <w:p>
      <w:pPr>
        <w:spacing w:after="0"/>
        <w:ind w:left="0"/>
        <w:jc w:val="both"/>
      </w:pPr>
      <w:r>
        <w:rPr>
          <w:rFonts w:ascii="Times New Roman"/>
          <w:b w:val="false"/>
          <w:i w:val="false"/>
          <w:color w:val="000000"/>
          <w:sz w:val="28"/>
        </w:rPr>
        <w:t>
      18) Республика Коста-Рика;</w:t>
      </w:r>
    </w:p>
    <w:bookmarkEnd w:id="129"/>
    <w:bookmarkStart w:name="z292" w:id="130"/>
    <w:p>
      <w:pPr>
        <w:spacing w:after="0"/>
        <w:ind w:left="0"/>
        <w:jc w:val="both"/>
      </w:pPr>
      <w:r>
        <w:rPr>
          <w:rFonts w:ascii="Times New Roman"/>
          <w:b w:val="false"/>
          <w:i w:val="false"/>
          <w:color w:val="000000"/>
          <w:sz w:val="28"/>
        </w:rPr>
        <w:t>
      19) Малайзия (только в части территории анклава Лабуан);</w:t>
      </w:r>
    </w:p>
    <w:bookmarkEnd w:id="130"/>
    <w:bookmarkStart w:name="z293" w:id="131"/>
    <w:p>
      <w:pPr>
        <w:spacing w:after="0"/>
        <w:ind w:left="0"/>
        <w:jc w:val="both"/>
      </w:pPr>
      <w:r>
        <w:rPr>
          <w:rFonts w:ascii="Times New Roman"/>
          <w:b w:val="false"/>
          <w:i w:val="false"/>
          <w:color w:val="000000"/>
          <w:sz w:val="28"/>
        </w:rPr>
        <w:t>
      20) Республика Либерия;</w:t>
      </w:r>
    </w:p>
    <w:bookmarkEnd w:id="131"/>
    <w:bookmarkStart w:name="z294" w:id="132"/>
    <w:p>
      <w:pPr>
        <w:spacing w:after="0"/>
        <w:ind w:left="0"/>
        <w:jc w:val="both"/>
      </w:pPr>
      <w:r>
        <w:rPr>
          <w:rFonts w:ascii="Times New Roman"/>
          <w:b w:val="false"/>
          <w:i w:val="false"/>
          <w:color w:val="000000"/>
          <w:sz w:val="28"/>
        </w:rPr>
        <w:t>
      21) Княжество Лихтенштейн;</w:t>
      </w:r>
    </w:p>
    <w:bookmarkEnd w:id="132"/>
    <w:bookmarkStart w:name="z295" w:id="133"/>
    <w:p>
      <w:pPr>
        <w:spacing w:after="0"/>
        <w:ind w:left="0"/>
        <w:jc w:val="both"/>
      </w:pPr>
      <w:r>
        <w:rPr>
          <w:rFonts w:ascii="Times New Roman"/>
          <w:b w:val="false"/>
          <w:i w:val="false"/>
          <w:color w:val="000000"/>
          <w:sz w:val="28"/>
        </w:rPr>
        <w:t>
      22) Республика Маврикий;</w:t>
      </w:r>
    </w:p>
    <w:bookmarkEnd w:id="133"/>
    <w:bookmarkStart w:name="z296" w:id="134"/>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134"/>
    <w:bookmarkStart w:name="z297" w:id="135"/>
    <w:p>
      <w:pPr>
        <w:spacing w:after="0"/>
        <w:ind w:left="0"/>
        <w:jc w:val="both"/>
      </w:pPr>
      <w:r>
        <w:rPr>
          <w:rFonts w:ascii="Times New Roman"/>
          <w:b w:val="false"/>
          <w:i w:val="false"/>
          <w:color w:val="000000"/>
          <w:sz w:val="28"/>
        </w:rPr>
        <w:t>
      24) Мальдивская Республика;</w:t>
      </w:r>
    </w:p>
    <w:bookmarkEnd w:id="135"/>
    <w:bookmarkStart w:name="z298" w:id="136"/>
    <w:p>
      <w:pPr>
        <w:spacing w:after="0"/>
        <w:ind w:left="0"/>
        <w:jc w:val="both"/>
      </w:pPr>
      <w:r>
        <w:rPr>
          <w:rFonts w:ascii="Times New Roman"/>
          <w:b w:val="false"/>
          <w:i w:val="false"/>
          <w:color w:val="000000"/>
          <w:sz w:val="28"/>
        </w:rPr>
        <w:t>
      25) Республика Мальта;</w:t>
      </w:r>
    </w:p>
    <w:bookmarkEnd w:id="136"/>
    <w:bookmarkStart w:name="z299" w:id="137"/>
    <w:p>
      <w:pPr>
        <w:spacing w:after="0"/>
        <w:ind w:left="0"/>
        <w:jc w:val="both"/>
      </w:pPr>
      <w:r>
        <w:rPr>
          <w:rFonts w:ascii="Times New Roman"/>
          <w:b w:val="false"/>
          <w:i w:val="false"/>
          <w:color w:val="000000"/>
          <w:sz w:val="28"/>
        </w:rPr>
        <w:t>
      26) Республика Маршалловы острова;</w:t>
      </w:r>
    </w:p>
    <w:bookmarkEnd w:id="137"/>
    <w:bookmarkStart w:name="z300" w:id="138"/>
    <w:p>
      <w:pPr>
        <w:spacing w:after="0"/>
        <w:ind w:left="0"/>
        <w:jc w:val="both"/>
      </w:pPr>
      <w:r>
        <w:rPr>
          <w:rFonts w:ascii="Times New Roman"/>
          <w:b w:val="false"/>
          <w:i w:val="false"/>
          <w:color w:val="000000"/>
          <w:sz w:val="28"/>
        </w:rPr>
        <w:t>
      27) Княжество Монако;</w:t>
      </w:r>
    </w:p>
    <w:bookmarkEnd w:id="138"/>
    <w:bookmarkStart w:name="z301" w:id="139"/>
    <w:p>
      <w:pPr>
        <w:spacing w:after="0"/>
        <w:ind w:left="0"/>
        <w:jc w:val="both"/>
      </w:pPr>
      <w:r>
        <w:rPr>
          <w:rFonts w:ascii="Times New Roman"/>
          <w:b w:val="false"/>
          <w:i w:val="false"/>
          <w:color w:val="000000"/>
          <w:sz w:val="28"/>
        </w:rPr>
        <w:t>
      28) Союз Мьянма;</w:t>
      </w:r>
    </w:p>
    <w:bookmarkEnd w:id="139"/>
    <w:bookmarkStart w:name="z302" w:id="140"/>
    <w:p>
      <w:pPr>
        <w:spacing w:after="0"/>
        <w:ind w:left="0"/>
        <w:jc w:val="both"/>
      </w:pPr>
      <w:r>
        <w:rPr>
          <w:rFonts w:ascii="Times New Roman"/>
          <w:b w:val="false"/>
          <w:i w:val="false"/>
          <w:color w:val="000000"/>
          <w:sz w:val="28"/>
        </w:rPr>
        <w:t>
      29) Республика Науру;</w:t>
      </w:r>
    </w:p>
    <w:bookmarkEnd w:id="140"/>
    <w:bookmarkStart w:name="z303" w:id="141"/>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141"/>
    <w:bookmarkStart w:name="z304" w:id="142"/>
    <w:p>
      <w:pPr>
        <w:spacing w:after="0"/>
        <w:ind w:left="0"/>
        <w:jc w:val="both"/>
      </w:pPr>
      <w:r>
        <w:rPr>
          <w:rFonts w:ascii="Times New Roman"/>
          <w:b w:val="false"/>
          <w:i w:val="false"/>
          <w:color w:val="000000"/>
          <w:sz w:val="28"/>
        </w:rPr>
        <w:t>
      31) Федеративная Республика Нигерия;</w:t>
      </w:r>
    </w:p>
    <w:bookmarkEnd w:id="142"/>
    <w:bookmarkStart w:name="z305" w:id="143"/>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143"/>
    <w:bookmarkStart w:name="z306" w:id="144"/>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144"/>
    <w:bookmarkStart w:name="z307" w:id="145"/>
    <w:p>
      <w:pPr>
        <w:spacing w:after="0"/>
        <w:ind w:left="0"/>
        <w:jc w:val="both"/>
      </w:pPr>
      <w:r>
        <w:rPr>
          <w:rFonts w:ascii="Times New Roman"/>
          <w:b w:val="false"/>
          <w:i w:val="false"/>
          <w:color w:val="000000"/>
          <w:sz w:val="28"/>
        </w:rPr>
        <w:t>
      34) Республика Палау;</w:t>
      </w:r>
    </w:p>
    <w:bookmarkEnd w:id="145"/>
    <w:bookmarkStart w:name="z308" w:id="146"/>
    <w:p>
      <w:pPr>
        <w:spacing w:after="0"/>
        <w:ind w:left="0"/>
        <w:jc w:val="both"/>
      </w:pPr>
      <w:r>
        <w:rPr>
          <w:rFonts w:ascii="Times New Roman"/>
          <w:b w:val="false"/>
          <w:i w:val="false"/>
          <w:color w:val="000000"/>
          <w:sz w:val="28"/>
        </w:rPr>
        <w:t>
      35) Республика Панама;</w:t>
      </w:r>
    </w:p>
    <w:bookmarkEnd w:id="146"/>
    <w:bookmarkStart w:name="z309" w:id="147"/>
    <w:p>
      <w:pPr>
        <w:spacing w:after="0"/>
        <w:ind w:left="0"/>
        <w:jc w:val="both"/>
      </w:pPr>
      <w:r>
        <w:rPr>
          <w:rFonts w:ascii="Times New Roman"/>
          <w:b w:val="false"/>
          <w:i w:val="false"/>
          <w:color w:val="000000"/>
          <w:sz w:val="28"/>
        </w:rPr>
        <w:t>
      36) Независимое Государство Самоа;</w:t>
      </w:r>
    </w:p>
    <w:bookmarkEnd w:id="147"/>
    <w:bookmarkStart w:name="z310" w:id="148"/>
    <w:p>
      <w:pPr>
        <w:spacing w:after="0"/>
        <w:ind w:left="0"/>
        <w:jc w:val="both"/>
      </w:pPr>
      <w:r>
        <w:rPr>
          <w:rFonts w:ascii="Times New Roman"/>
          <w:b w:val="false"/>
          <w:i w:val="false"/>
          <w:color w:val="000000"/>
          <w:sz w:val="28"/>
        </w:rPr>
        <w:t>
      37) Республика Сейшельские острова;</w:t>
      </w:r>
    </w:p>
    <w:bookmarkEnd w:id="148"/>
    <w:bookmarkStart w:name="z311" w:id="149"/>
    <w:p>
      <w:pPr>
        <w:spacing w:after="0"/>
        <w:ind w:left="0"/>
        <w:jc w:val="both"/>
      </w:pPr>
      <w:r>
        <w:rPr>
          <w:rFonts w:ascii="Times New Roman"/>
          <w:b w:val="false"/>
          <w:i w:val="false"/>
          <w:color w:val="000000"/>
          <w:sz w:val="28"/>
        </w:rPr>
        <w:t>
      38) Государство Сент-Винсент и Гренадины;</w:t>
      </w:r>
    </w:p>
    <w:bookmarkEnd w:id="149"/>
    <w:bookmarkStart w:name="z312" w:id="150"/>
    <w:p>
      <w:pPr>
        <w:spacing w:after="0"/>
        <w:ind w:left="0"/>
        <w:jc w:val="both"/>
      </w:pPr>
      <w:r>
        <w:rPr>
          <w:rFonts w:ascii="Times New Roman"/>
          <w:b w:val="false"/>
          <w:i w:val="false"/>
          <w:color w:val="000000"/>
          <w:sz w:val="28"/>
        </w:rPr>
        <w:t>
      39) Федерация Сент-Китс и Невис;</w:t>
      </w:r>
    </w:p>
    <w:bookmarkEnd w:id="150"/>
    <w:bookmarkStart w:name="z313" w:id="151"/>
    <w:p>
      <w:pPr>
        <w:spacing w:after="0"/>
        <w:ind w:left="0"/>
        <w:jc w:val="both"/>
      </w:pPr>
      <w:r>
        <w:rPr>
          <w:rFonts w:ascii="Times New Roman"/>
          <w:b w:val="false"/>
          <w:i w:val="false"/>
          <w:color w:val="000000"/>
          <w:sz w:val="28"/>
        </w:rPr>
        <w:t>
      40) Государство Сент-Люсия;</w:t>
      </w:r>
    </w:p>
    <w:bookmarkEnd w:id="151"/>
    <w:bookmarkStart w:name="z314" w:id="152"/>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152"/>
    <w:bookmarkStart w:name="z315" w:id="153"/>
    <w:p>
      <w:pPr>
        <w:spacing w:after="0"/>
        <w:ind w:left="0"/>
        <w:jc w:val="both"/>
      </w:pPr>
      <w:r>
        <w:rPr>
          <w:rFonts w:ascii="Times New Roman"/>
          <w:b w:val="false"/>
          <w:i w:val="false"/>
          <w:color w:val="000000"/>
          <w:sz w:val="28"/>
        </w:rPr>
        <w:t>
      Острова Ангилья; Бермудские острова;</w:t>
      </w:r>
    </w:p>
    <w:bookmarkEnd w:id="153"/>
    <w:bookmarkStart w:name="z316" w:id="154"/>
    <w:p>
      <w:pPr>
        <w:spacing w:after="0"/>
        <w:ind w:left="0"/>
        <w:jc w:val="both"/>
      </w:pPr>
      <w:r>
        <w:rPr>
          <w:rFonts w:ascii="Times New Roman"/>
          <w:b w:val="false"/>
          <w:i w:val="false"/>
          <w:color w:val="000000"/>
          <w:sz w:val="28"/>
        </w:rPr>
        <w:t>
      Британские Виргинские острова;</w:t>
      </w:r>
    </w:p>
    <w:bookmarkEnd w:id="154"/>
    <w:bookmarkStart w:name="z317" w:id="155"/>
    <w:p>
      <w:pPr>
        <w:spacing w:after="0"/>
        <w:ind w:left="0"/>
        <w:jc w:val="both"/>
      </w:pPr>
      <w:r>
        <w:rPr>
          <w:rFonts w:ascii="Times New Roman"/>
          <w:b w:val="false"/>
          <w:i w:val="false"/>
          <w:color w:val="000000"/>
          <w:sz w:val="28"/>
        </w:rPr>
        <w:t>
      Гибралтар;</w:t>
      </w:r>
    </w:p>
    <w:bookmarkEnd w:id="155"/>
    <w:bookmarkStart w:name="z318" w:id="156"/>
    <w:p>
      <w:pPr>
        <w:spacing w:after="0"/>
        <w:ind w:left="0"/>
        <w:jc w:val="both"/>
      </w:pPr>
      <w:r>
        <w:rPr>
          <w:rFonts w:ascii="Times New Roman"/>
          <w:b w:val="false"/>
          <w:i w:val="false"/>
          <w:color w:val="000000"/>
          <w:sz w:val="28"/>
        </w:rPr>
        <w:t>
      Каймановы острова;</w:t>
      </w:r>
    </w:p>
    <w:bookmarkEnd w:id="156"/>
    <w:bookmarkStart w:name="z319" w:id="157"/>
    <w:p>
      <w:pPr>
        <w:spacing w:after="0"/>
        <w:ind w:left="0"/>
        <w:jc w:val="both"/>
      </w:pPr>
      <w:r>
        <w:rPr>
          <w:rFonts w:ascii="Times New Roman"/>
          <w:b w:val="false"/>
          <w:i w:val="false"/>
          <w:color w:val="000000"/>
          <w:sz w:val="28"/>
        </w:rPr>
        <w:t>
      Остров Монтсеррат;</w:t>
      </w:r>
    </w:p>
    <w:bookmarkEnd w:id="157"/>
    <w:bookmarkStart w:name="z320" w:id="158"/>
    <w:p>
      <w:pPr>
        <w:spacing w:after="0"/>
        <w:ind w:left="0"/>
        <w:jc w:val="both"/>
      </w:pPr>
      <w:r>
        <w:rPr>
          <w:rFonts w:ascii="Times New Roman"/>
          <w:b w:val="false"/>
          <w:i w:val="false"/>
          <w:color w:val="000000"/>
          <w:sz w:val="28"/>
        </w:rPr>
        <w:t>
      Острова Теркс и Кайкос;</w:t>
      </w:r>
    </w:p>
    <w:bookmarkEnd w:id="158"/>
    <w:bookmarkStart w:name="z321" w:id="159"/>
    <w:p>
      <w:pPr>
        <w:spacing w:after="0"/>
        <w:ind w:left="0"/>
        <w:jc w:val="both"/>
      </w:pPr>
      <w:r>
        <w:rPr>
          <w:rFonts w:ascii="Times New Roman"/>
          <w:b w:val="false"/>
          <w:i w:val="false"/>
          <w:color w:val="000000"/>
          <w:sz w:val="28"/>
        </w:rPr>
        <w:t>
      Остров Мэн;</w:t>
      </w:r>
    </w:p>
    <w:bookmarkEnd w:id="159"/>
    <w:bookmarkStart w:name="z322" w:id="160"/>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160"/>
    <w:bookmarkStart w:name="z323" w:id="161"/>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161"/>
    <w:bookmarkStart w:name="z324" w:id="162"/>
    <w:p>
      <w:pPr>
        <w:spacing w:after="0"/>
        <w:ind w:left="0"/>
        <w:jc w:val="both"/>
      </w:pPr>
      <w:r>
        <w:rPr>
          <w:rFonts w:ascii="Times New Roman"/>
          <w:b w:val="false"/>
          <w:i w:val="false"/>
          <w:color w:val="000000"/>
          <w:sz w:val="28"/>
        </w:rPr>
        <w:t>
      43) Королевство Тонга;</w:t>
      </w:r>
    </w:p>
    <w:bookmarkEnd w:id="162"/>
    <w:bookmarkStart w:name="z325" w:id="163"/>
    <w:p>
      <w:pPr>
        <w:spacing w:after="0"/>
        <w:ind w:left="0"/>
        <w:jc w:val="both"/>
      </w:pPr>
      <w:r>
        <w:rPr>
          <w:rFonts w:ascii="Times New Roman"/>
          <w:b w:val="false"/>
          <w:i w:val="false"/>
          <w:color w:val="000000"/>
          <w:sz w:val="28"/>
        </w:rPr>
        <w:t>
      44) Республика Филиппины;</w:t>
      </w:r>
    </w:p>
    <w:bookmarkEnd w:id="163"/>
    <w:bookmarkStart w:name="z326" w:id="164"/>
    <w:p>
      <w:pPr>
        <w:spacing w:after="0"/>
        <w:ind w:left="0"/>
        <w:jc w:val="both"/>
      </w:pPr>
      <w:r>
        <w:rPr>
          <w:rFonts w:ascii="Times New Roman"/>
          <w:b w:val="false"/>
          <w:i w:val="false"/>
          <w:color w:val="000000"/>
          <w:sz w:val="28"/>
        </w:rPr>
        <w:t>
      45) Демократическая Республика Шри-Ланка.</w:t>
      </w:r>
    </w:p>
    <w:bookmarkEnd w:id="164"/>
    <w:bookmarkStart w:name="z327" w:id="16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таблицы активов</w:t>
            </w:r>
            <w:r>
              <w:br/>
            </w:r>
            <w:r>
              <w:rPr>
                <w:rFonts w:ascii="Times New Roman"/>
                <w:b w:val="false"/>
                <w:i w:val="false"/>
                <w:color w:val="000000"/>
                <w:sz w:val="20"/>
              </w:rPr>
              <w:t>организатора торгов,</w:t>
            </w:r>
            <w:r>
              <w:br/>
            </w:r>
            <w:r>
              <w:rPr>
                <w:rFonts w:ascii="Times New Roman"/>
                <w:b w:val="false"/>
                <w:i w:val="false"/>
                <w:color w:val="000000"/>
                <w:sz w:val="20"/>
              </w:rPr>
              <w:t>взвешенных по</w:t>
            </w:r>
            <w:r>
              <w:rPr>
                <w:rFonts w:ascii="Times New Roman"/>
                <w:b w:val="false"/>
                <w:i w:val="false"/>
                <w:color w:val="000000"/>
                <w:sz w:val="20"/>
              </w:rPr>
              <w:t xml:space="preserve"> степени</w:t>
            </w:r>
            <w:r>
              <w:br/>
            </w:r>
            <w:r>
              <w:rPr>
                <w:rFonts w:ascii="Times New Roman"/>
                <w:b w:val="false"/>
                <w:i w:val="false"/>
                <w:color w:val="000000"/>
                <w:sz w:val="20"/>
              </w:rPr>
              <w:t>кредитного риска вложений</w:t>
            </w:r>
          </w:p>
        </w:tc>
      </w:tr>
    </w:tbl>
    <w:bookmarkStart w:name="z332" w:id="1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6"/>
    <w:bookmarkStart w:name="z333" w:id="167"/>
    <w:p>
      <w:pPr>
        <w:spacing w:after="0"/>
        <w:ind w:left="0"/>
        <w:jc w:val="left"/>
      </w:pPr>
      <w:r>
        <w:rPr>
          <w:rFonts w:ascii="Times New Roman"/>
          <w:b/>
          <w:i w:val="false"/>
          <w:color w:val="000000"/>
        </w:rPr>
        <w:t xml:space="preserve"> Таблица активов организатора торгов, взвешенных по степени кредитного риска вложений</w:t>
      </w:r>
    </w:p>
    <w:bookmarkEnd w:id="167"/>
    <w:bookmarkStart w:name="z334" w:id="168"/>
    <w:p>
      <w:pPr>
        <w:spacing w:after="0"/>
        <w:ind w:left="0"/>
        <w:jc w:val="left"/>
      </w:pPr>
      <w:r>
        <w:rPr>
          <w:rFonts w:ascii="Times New Roman"/>
          <w:b/>
          <w:i w:val="false"/>
          <w:color w:val="000000"/>
        </w:rPr>
        <w:t xml:space="preserve"> Глава 1. Общие положения</w:t>
      </w:r>
    </w:p>
    <w:bookmarkEnd w:id="168"/>
    <w:bookmarkStart w:name="z335" w:id="16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"Таблица активов организатора торгов, взвешенных по степени кредитного риска вложений" (далее - Форма).</w:t>
      </w:r>
    </w:p>
    <w:bookmarkEnd w:id="169"/>
    <w:bookmarkStart w:name="z336" w:id="170"/>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70"/>
    <w:bookmarkStart w:name="z337" w:id="171"/>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171"/>
    <w:bookmarkStart w:name="z338" w:id="17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72"/>
    <w:bookmarkStart w:name="z339" w:id="173"/>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173"/>
    <w:bookmarkStart w:name="z340" w:id="174"/>
    <w:p>
      <w:pPr>
        <w:spacing w:after="0"/>
        <w:ind w:left="0"/>
        <w:jc w:val="left"/>
      </w:pPr>
      <w:r>
        <w:rPr>
          <w:rFonts w:ascii="Times New Roman"/>
          <w:b/>
          <w:i w:val="false"/>
          <w:color w:val="000000"/>
        </w:rPr>
        <w:t xml:space="preserve"> Глава 2. Пояснение по заполнению Формы</w:t>
      </w:r>
    </w:p>
    <w:bookmarkEnd w:id="174"/>
    <w:bookmarkStart w:name="z341" w:id="175"/>
    <w:p>
      <w:pPr>
        <w:spacing w:after="0"/>
        <w:ind w:left="0"/>
        <w:jc w:val="both"/>
      </w:pPr>
      <w:r>
        <w:rPr>
          <w:rFonts w:ascii="Times New Roman"/>
          <w:b w:val="false"/>
          <w:i w:val="false"/>
          <w:color w:val="000000"/>
          <w:sz w:val="28"/>
        </w:rPr>
        <w:t>
      6. Вклады, дебиторская задолженность, приобретенные ценные бумаги, по которым у организатора торгов имеется обеспечение (в виде активов, указанных в строках 1, 2, 3, 4, 5, 6, 9, 10, 11, 12 Формы), скорректированная стоимость которого составляет не менее 50 (пятидесяти) процентов объема указанных активов, при наличии у организатора торгов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bookmarkEnd w:id="175"/>
    <w:bookmarkStart w:name="z342" w:id="17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9, 10, 11, 12 Формы) равняется:</w:t>
      </w:r>
    </w:p>
    <w:bookmarkEnd w:id="176"/>
    <w:bookmarkStart w:name="z343" w:id="177"/>
    <w:p>
      <w:pPr>
        <w:spacing w:after="0"/>
        <w:ind w:left="0"/>
        <w:jc w:val="both"/>
      </w:pPr>
      <w:r>
        <w:rPr>
          <w:rFonts w:ascii="Times New Roman"/>
          <w:b w:val="false"/>
          <w:i w:val="false"/>
          <w:color w:val="000000"/>
          <w:sz w:val="28"/>
        </w:rPr>
        <w:t>
      100 (ста) процентам суммы вкладов, предоставленных в качестве обеспечения;</w:t>
      </w:r>
    </w:p>
    <w:bookmarkEnd w:id="177"/>
    <w:bookmarkStart w:name="z344" w:id="178"/>
    <w:p>
      <w:pPr>
        <w:spacing w:after="0"/>
        <w:ind w:left="0"/>
        <w:jc w:val="both"/>
      </w:pPr>
      <w:r>
        <w:rPr>
          <w:rFonts w:ascii="Times New Roman"/>
          <w:b w:val="false"/>
          <w:i w:val="false"/>
          <w:color w:val="000000"/>
          <w:sz w:val="28"/>
        </w:rPr>
        <w:t>
      95 (девяноста пяти) процентам рыночной стоимости ценных бумаг, переданных в обеспечение;</w:t>
      </w:r>
    </w:p>
    <w:bookmarkEnd w:id="178"/>
    <w:bookmarkStart w:name="z345" w:id="17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79"/>
    <w:bookmarkStart w:name="z346" w:id="18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Форме по степени риска, соответствующей вкладам, дебиторской задолженности, приобретенным ценным бумагам.</w:t>
      </w:r>
    </w:p>
    <w:bookmarkEnd w:id="180"/>
    <w:bookmarkStart w:name="z347" w:id="181"/>
    <w:p>
      <w:pPr>
        <w:spacing w:after="0"/>
        <w:ind w:left="0"/>
        <w:jc w:val="both"/>
      </w:pPr>
      <w:r>
        <w:rPr>
          <w:rFonts w:ascii="Times New Roman"/>
          <w:b w:val="false"/>
          <w:i w:val="false"/>
          <w:color w:val="000000"/>
          <w:sz w:val="28"/>
        </w:rPr>
        <w:t>
      7. Вклады, дебиторская задолженность, приобретенные ценные бумаги, инвестиции, не включенные в расчет инвестиций организатора торгов, гарантированные (застрахованные) организациями, имеющими степень риска ниже контрагента, могут включаться в расчет активов, взвешенных по степени кредитного риска (за минусом гарантированной (застрахованной) суммы вкладов, дебиторской задолженности, приобретенных ценных бумаг, инвестиции, не включенных в расчет инвестиций организатора торгов) по степени риска должника.</w:t>
      </w:r>
    </w:p>
    <w:bookmarkEnd w:id="181"/>
    <w:bookmarkStart w:name="z348" w:id="182"/>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инвестиции, не включенных в расчет инвестиций организатора торгов взвешивается по степени риска дебиторской задолженности соответствующего гаранта (страховщика).</w:t>
      </w:r>
    </w:p>
    <w:bookmarkEnd w:id="182"/>
    <w:bookmarkStart w:name="z349" w:id="183"/>
    <w:p>
      <w:pPr>
        <w:spacing w:after="0"/>
        <w:ind w:left="0"/>
        <w:jc w:val="both"/>
      </w:pPr>
      <w:r>
        <w:rPr>
          <w:rFonts w:ascii="Times New Roman"/>
          <w:b w:val="false"/>
          <w:i w:val="false"/>
          <w:color w:val="000000"/>
          <w:sz w:val="28"/>
        </w:rPr>
        <w:t>
      8. Вклады, дебиторская задолженность, приобретенные ценные бумаги, указанные в пункте 6 Пояснения, предоставленные нерезидентам Республики Казахстан:</w:t>
      </w:r>
    </w:p>
    <w:bookmarkEnd w:id="183"/>
    <w:bookmarkStart w:name="z350" w:id="18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184"/>
    <w:bookmarkStart w:name="z351" w:id="18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и владеющих в отдельности более чем 5 (пятью) процентами долей участия в уставном капитале, или дочерними по отношению к юридическому лицу, зарегистрированному на территории оффшорной зоны;</w:t>
      </w:r>
    </w:p>
    <w:bookmarkEnd w:id="185"/>
    <w:bookmarkStart w:name="z352" w:id="186"/>
    <w:p>
      <w:pPr>
        <w:spacing w:after="0"/>
        <w:ind w:left="0"/>
        <w:jc w:val="both"/>
      </w:pPr>
      <w:r>
        <w:rPr>
          <w:rFonts w:ascii="Times New Roman"/>
          <w:b w:val="false"/>
          <w:i w:val="false"/>
          <w:color w:val="000000"/>
          <w:sz w:val="28"/>
        </w:rPr>
        <w:t>
      3) являющимся гражданами оффшорных зон, взвешиваются по степени риска согласно Форме, независимо от наличия обеспечения, указанного в пункте 6 Пояснения.</w:t>
      </w:r>
    </w:p>
    <w:bookmarkEnd w:id="186"/>
    <w:bookmarkStart w:name="z353" w:id="187"/>
    <w:p>
      <w:pPr>
        <w:spacing w:after="0"/>
        <w:ind w:left="0"/>
        <w:jc w:val="both"/>
      </w:pPr>
      <w:r>
        <w:rPr>
          <w:rFonts w:ascii="Times New Roman"/>
          <w:b w:val="false"/>
          <w:i w:val="false"/>
          <w:color w:val="000000"/>
          <w:sz w:val="28"/>
        </w:rPr>
        <w:t>
      9. Вклады, дебиторская задолженность, приобретенные ценные бумаги, указанные в пункте 6 Пояснения, предоставленные нерезидентам Республики Казахстан:</w:t>
      </w:r>
    </w:p>
    <w:bookmarkEnd w:id="187"/>
    <w:bookmarkStart w:name="z354" w:id="188"/>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88"/>
    <w:bookmarkStart w:name="z355" w:id="189"/>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и владеющих в отдельности более чем 5 (пятью) процентами долей участия в уставном капитале,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уровня, указанного в подпункте 1) настоящего пункта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перечень иностранных государств установленный в Примечании к Форме либо отнесенных Организацией Экономического Сотрудничества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(пятью) процентами долей участия в уставном капитале либо дочерними по отношению к юридическим лицам, зарегистрированным на территории указанных оффшорных зон, взвешиваются по нулевой степени риска.</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2</w:t>
            </w:r>
            <w:r>
              <w:br/>
            </w:r>
            <w:r>
              <w:rPr>
                <w:rFonts w:ascii="Times New Roman"/>
                <w:b w:val="false"/>
                <w:i w:val="false"/>
                <w:color w:val="000000"/>
                <w:sz w:val="20"/>
              </w:rPr>
              <w:t>к Правилам и 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360" w:id="1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0"/>
    <w:bookmarkStart w:name="z361" w:id="191"/>
    <w:p>
      <w:pPr>
        <w:spacing w:after="0"/>
        <w:ind w:left="0"/>
        <w:jc w:val="left"/>
      </w:pPr>
      <w:r>
        <w:rPr>
          <w:rFonts w:ascii="Times New Roman"/>
          <w:b/>
          <w:i w:val="false"/>
          <w:color w:val="000000"/>
        </w:rPr>
        <w:t xml:space="preserve"> Таблица условных и возможных обязательств организатора торгов, взвешенных по степени кредитного риска</w:t>
      </w:r>
    </w:p>
    <w:bookmarkEnd w:id="191"/>
    <w:bookmarkStart w:name="z362" w:id="192"/>
    <w:p>
      <w:pPr>
        <w:spacing w:after="0"/>
        <w:ind w:left="0"/>
        <w:jc w:val="left"/>
      </w:pPr>
      <w:r>
        <w:rPr>
          <w:rFonts w:ascii="Times New Roman"/>
          <w:b/>
          <w:i w:val="false"/>
          <w:color w:val="000000"/>
        </w:rPr>
        <w:t xml:space="preserve"> Отчетный период: по состоянию на "____" ________________ 20___ года</w:t>
      </w:r>
    </w:p>
    <w:bookmarkEnd w:id="192"/>
    <w:p>
      <w:pPr>
        <w:spacing w:after="0"/>
        <w:ind w:left="0"/>
        <w:jc w:val="both"/>
      </w:pPr>
      <w:bookmarkStart w:name="z363" w:id="193"/>
      <w:r>
        <w:rPr>
          <w:rFonts w:ascii="Times New Roman"/>
          <w:b w:val="false"/>
          <w:i w:val="false"/>
          <w:color w:val="000000"/>
          <w:sz w:val="28"/>
        </w:rPr>
        <w:t>
      Индекс: ТА-2_ОТ</w:t>
      </w:r>
    </w:p>
    <w:bookmarkEnd w:id="193"/>
    <w:p>
      <w:pPr>
        <w:spacing w:after="0"/>
        <w:ind w:left="0"/>
        <w:jc w:val="both"/>
      </w:pPr>
      <w:r>
        <w:rPr>
          <w:rFonts w:ascii="Times New Roman"/>
          <w:b w:val="false"/>
          <w:i w:val="false"/>
          <w:color w:val="000000"/>
          <w:sz w:val="28"/>
        </w:rPr>
        <w:t xml:space="preserve">       Периодичность: ежеквартальная</w:t>
      </w:r>
    </w:p>
    <w:p>
      <w:pPr>
        <w:spacing w:after="0"/>
        <w:ind w:left="0"/>
        <w:jc w:val="both"/>
      </w:pPr>
      <w:r>
        <w:rPr>
          <w:rFonts w:ascii="Times New Roman"/>
          <w:b w:val="false"/>
          <w:i w:val="false"/>
          <w:color w:val="000000"/>
          <w:sz w:val="28"/>
        </w:rPr>
        <w:t xml:space="preserve">       Представляет: организатор торгов</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9" w:id="194"/>
      <w:r>
        <w:rPr>
          <w:rFonts w:ascii="Times New Roman"/>
          <w:b w:val="false"/>
          <w:i w:val="false"/>
          <w:color w:val="000000"/>
          <w:sz w:val="28"/>
        </w:rPr>
        <w:t>
      _____________________________________________________________</w:t>
      </w:r>
    </w:p>
    <w:bookmarkEnd w:id="194"/>
    <w:p>
      <w:pPr>
        <w:spacing w:after="0"/>
        <w:ind w:left="0"/>
        <w:jc w:val="both"/>
      </w:pPr>
      <w:r>
        <w:rPr>
          <w:rFonts w:ascii="Times New Roman"/>
          <w:b w:val="false"/>
          <w:i w:val="false"/>
          <w:color w:val="000000"/>
          <w:sz w:val="28"/>
        </w:rPr>
        <w:t>наименование организатора торгов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"АА"и выше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организатором торгов в будущем займов и вкладов, подлежащие отмене в любой момент по требованию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организатором торгов в будущем займов и вкладов со сроком погашения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организатором торгов в будущем займов и вкладов со сроком погашения более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организатором торгов с обязательством обратного выкупа организатором торгов финансовых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"ВВ+"до "ВВ"агентства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 w:id="195"/>
      <w:r>
        <w:rPr>
          <w:rFonts w:ascii="Times New Roman"/>
          <w:b w:val="false"/>
          <w:i w:val="false"/>
          <w:color w:val="000000"/>
          <w:sz w:val="28"/>
        </w:rPr>
        <w:t>
      Первый руководитель или лицо, уполномоченное на подписание отчета</w:t>
      </w:r>
    </w:p>
    <w:bookmarkEnd w:id="195"/>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                   _______________</w:t>
      </w:r>
    </w:p>
    <w:p>
      <w:pPr>
        <w:spacing w:after="0"/>
        <w:ind w:left="0"/>
        <w:jc w:val="both"/>
      </w:pPr>
      <w:r>
        <w:rPr>
          <w:rFonts w:ascii="Times New Roman"/>
          <w:b w:val="false"/>
          <w:i w:val="false"/>
          <w:color w:val="000000"/>
          <w:sz w:val="28"/>
        </w:rPr>
        <w:t>(подпись)                         (номер телефона)</w:t>
      </w:r>
    </w:p>
    <w:p>
      <w:pPr>
        <w:spacing w:after="0"/>
        <w:ind w:left="0"/>
        <w:jc w:val="both"/>
      </w:pPr>
      <w:r>
        <w:rPr>
          <w:rFonts w:ascii="Times New Roman"/>
          <w:b w:val="false"/>
          <w:i w:val="false"/>
          <w:color w:val="000000"/>
          <w:sz w:val="28"/>
        </w:rPr>
        <w:t>Дата подписания отчета "_____" _______________ 20 ___ года</w:t>
      </w:r>
    </w:p>
    <w:p>
      <w:pPr>
        <w:spacing w:after="0"/>
        <w:ind w:left="0"/>
        <w:jc w:val="both"/>
      </w:pPr>
      <w:r>
        <w:rPr>
          <w:rFonts w:ascii="Times New Roman"/>
          <w:b w:val="false"/>
          <w:i w:val="false"/>
          <w:color w:val="000000"/>
          <w:sz w:val="28"/>
        </w:rPr>
        <w:t>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w:t>
            </w:r>
            <w:r>
              <w:br/>
            </w:r>
            <w:r>
              <w:rPr>
                <w:rFonts w:ascii="Times New Roman"/>
                <w:b w:val="false"/>
                <w:i w:val="false"/>
                <w:color w:val="000000"/>
                <w:sz w:val="20"/>
              </w:rPr>
              <w:t>таблицы условных и</w:t>
            </w:r>
            <w:r>
              <w:br/>
            </w:r>
            <w:r>
              <w:rPr>
                <w:rFonts w:ascii="Times New Roman"/>
                <w:b w:val="false"/>
                <w:i w:val="false"/>
                <w:color w:val="000000"/>
                <w:sz w:val="20"/>
              </w:rPr>
              <w:t>возможных обязательств</w:t>
            </w:r>
            <w:r>
              <w:br/>
            </w:r>
            <w:r>
              <w:rPr>
                <w:rFonts w:ascii="Times New Roman"/>
                <w:b w:val="false"/>
                <w:i w:val="false"/>
                <w:color w:val="000000"/>
                <w:sz w:val="20"/>
              </w:rPr>
              <w:t>организатора торгов,</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375" w:id="196"/>
    <w:p>
      <w:pPr>
        <w:spacing w:after="0"/>
        <w:ind w:left="0"/>
        <w:jc w:val="left"/>
      </w:pPr>
      <w:r>
        <w:rPr>
          <w:rFonts w:ascii="Times New Roman"/>
          <w:b/>
          <w:i w:val="false"/>
          <w:color w:val="000000"/>
        </w:rPr>
        <w:t xml:space="preserve"> Пояснение по заполнению формы, предназначенной для</w:t>
      </w:r>
      <w:r>
        <w:br/>
      </w:r>
      <w:r>
        <w:rPr>
          <w:rFonts w:ascii="Times New Roman"/>
          <w:b/>
          <w:i w:val="false"/>
          <w:color w:val="000000"/>
        </w:rPr>
        <w:t>сбора административных данных</w:t>
      </w:r>
    </w:p>
    <w:bookmarkEnd w:id="196"/>
    <w:bookmarkStart w:name="z376" w:id="197"/>
    <w:p>
      <w:pPr>
        <w:spacing w:after="0"/>
        <w:ind w:left="0"/>
        <w:jc w:val="left"/>
      </w:pPr>
      <w:r>
        <w:rPr>
          <w:rFonts w:ascii="Times New Roman"/>
          <w:b/>
          <w:i w:val="false"/>
          <w:color w:val="000000"/>
        </w:rPr>
        <w:t xml:space="preserve"> Таблица условных и возможных обязательств</w:t>
      </w:r>
      <w:r>
        <w:br/>
      </w:r>
      <w:r>
        <w:rPr>
          <w:rFonts w:ascii="Times New Roman"/>
          <w:b/>
          <w:i w:val="false"/>
          <w:color w:val="000000"/>
        </w:rPr>
        <w:t>организатора торгов, взвешенных по степени кредитного риска</w:t>
      </w:r>
    </w:p>
    <w:bookmarkEnd w:id="197"/>
    <w:bookmarkStart w:name="z377" w:id="198"/>
    <w:p>
      <w:pPr>
        <w:spacing w:after="0"/>
        <w:ind w:left="0"/>
        <w:jc w:val="left"/>
      </w:pPr>
      <w:r>
        <w:rPr>
          <w:rFonts w:ascii="Times New Roman"/>
          <w:b/>
          <w:i w:val="false"/>
          <w:color w:val="000000"/>
        </w:rPr>
        <w:t xml:space="preserve"> Глава 1. Общие положения</w:t>
      </w:r>
    </w:p>
    <w:bookmarkEnd w:id="198"/>
    <w:bookmarkStart w:name="z378" w:id="19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"Таблица условных и возможных обязательств организатора торгов, взвешенных по степени кредитного риска" (далее - Форма).</w:t>
      </w:r>
    </w:p>
    <w:bookmarkEnd w:id="199"/>
    <w:bookmarkStart w:name="z379" w:id="200"/>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00"/>
    <w:bookmarkStart w:name="z380" w:id="201"/>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201"/>
    <w:bookmarkStart w:name="z381" w:id="20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02"/>
    <w:bookmarkStart w:name="z382" w:id="203"/>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203"/>
    <w:bookmarkStart w:name="z383" w:id="204"/>
    <w:p>
      <w:pPr>
        <w:spacing w:after="0"/>
        <w:ind w:left="0"/>
        <w:jc w:val="left"/>
      </w:pPr>
      <w:r>
        <w:rPr>
          <w:rFonts w:ascii="Times New Roman"/>
          <w:b/>
          <w:i w:val="false"/>
          <w:color w:val="000000"/>
        </w:rPr>
        <w:t xml:space="preserve"> Глава 2. Пояснение по заполнению Формы</w:t>
      </w:r>
    </w:p>
    <w:bookmarkEnd w:id="204"/>
    <w:bookmarkStart w:name="z384" w:id="205"/>
    <w:p>
      <w:pPr>
        <w:spacing w:after="0"/>
        <w:ind w:left="0"/>
        <w:jc w:val="both"/>
      </w:pPr>
      <w:r>
        <w:rPr>
          <w:rFonts w:ascii="Times New Roman"/>
          <w:b w:val="false"/>
          <w:i w:val="false"/>
          <w:color w:val="000000"/>
          <w:sz w:val="28"/>
        </w:rPr>
        <w:t>
      6. При определении степени риска по внебалансовым обязательствам в части счетов по размещению-получению депозитов и займов в будущем, по приобретению-продаже ценных бумаг и купле-продаже валютных ценностей, в расчет принимаются обязательства, которые могут возникнуть в течение текущего и двух последующих месяцев.</w:t>
      </w:r>
    </w:p>
    <w:bookmarkEnd w:id="205"/>
    <w:bookmarkStart w:name="z385" w:id="206"/>
    <w:p>
      <w:pPr>
        <w:spacing w:after="0"/>
        <w:ind w:left="0"/>
        <w:jc w:val="both"/>
      </w:pPr>
      <w:r>
        <w:rPr>
          <w:rFonts w:ascii="Times New Roman"/>
          <w:b w:val="false"/>
          <w:i w:val="false"/>
          <w:color w:val="000000"/>
          <w:sz w:val="28"/>
        </w:rPr>
        <w:t>
      7. Под понятием "заем" понимается осуществление организатором торгов заемных, лизинговых, факторинговых, форфейтинговых операций.</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3</w:t>
            </w:r>
            <w:r>
              <w:br/>
            </w:r>
            <w:r>
              <w:rPr>
                <w:rFonts w:ascii="Times New Roman"/>
                <w:b w:val="false"/>
                <w:i w:val="false"/>
                <w:color w:val="000000"/>
                <w:sz w:val="20"/>
              </w:rPr>
              <w:t>к Правилам и 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390" w:id="207"/>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Расшифровка производных финансовых инструментов, взвешенных с учетом кредитного риска</w:t>
      </w:r>
    </w:p>
    <w:bookmarkEnd w:id="207"/>
    <w:bookmarkStart w:name="z392" w:id="208"/>
    <w:p>
      <w:pPr>
        <w:spacing w:after="0"/>
        <w:ind w:left="0"/>
        <w:jc w:val="left"/>
      </w:pPr>
      <w:r>
        <w:rPr>
          <w:rFonts w:ascii="Times New Roman"/>
          <w:b/>
          <w:i w:val="false"/>
          <w:color w:val="000000"/>
        </w:rPr>
        <w:t xml:space="preserve"> Отчетный период: по состоянию на "____" ________________ 20___ года</w:t>
      </w:r>
    </w:p>
    <w:bookmarkEnd w:id="208"/>
    <w:p>
      <w:pPr>
        <w:spacing w:after="0"/>
        <w:ind w:left="0"/>
        <w:jc w:val="both"/>
      </w:pPr>
      <w:bookmarkStart w:name="z393" w:id="209"/>
      <w:r>
        <w:rPr>
          <w:rFonts w:ascii="Times New Roman"/>
          <w:b w:val="false"/>
          <w:i w:val="false"/>
          <w:color w:val="000000"/>
          <w:sz w:val="28"/>
        </w:rPr>
        <w:t>
      Индекс: ТА-3_ОТ</w:t>
      </w:r>
    </w:p>
    <w:bookmarkEnd w:id="209"/>
    <w:p>
      <w:pPr>
        <w:spacing w:after="0"/>
        <w:ind w:left="0"/>
        <w:jc w:val="both"/>
      </w:pPr>
      <w:r>
        <w:rPr>
          <w:rFonts w:ascii="Times New Roman"/>
          <w:b w:val="false"/>
          <w:i w:val="false"/>
          <w:color w:val="000000"/>
          <w:sz w:val="28"/>
        </w:rPr>
        <w:t xml:space="preserve">       Периодичность: ежеквартальная</w:t>
      </w:r>
    </w:p>
    <w:p>
      <w:pPr>
        <w:spacing w:after="0"/>
        <w:ind w:left="0"/>
        <w:jc w:val="both"/>
      </w:pPr>
      <w:r>
        <w:rPr>
          <w:rFonts w:ascii="Times New Roman"/>
          <w:b w:val="false"/>
          <w:i w:val="false"/>
          <w:color w:val="000000"/>
          <w:sz w:val="28"/>
        </w:rPr>
        <w:t xml:space="preserve">       Представляет: организатор торгов</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9" w:id="210"/>
      <w:r>
        <w:rPr>
          <w:rFonts w:ascii="Times New Roman"/>
          <w:b w:val="false"/>
          <w:i w:val="false"/>
          <w:color w:val="000000"/>
          <w:sz w:val="28"/>
        </w:rPr>
        <w:t>
      _____________________________________________________________</w:t>
      </w:r>
    </w:p>
    <w:bookmarkEnd w:id="210"/>
    <w:p>
      <w:pPr>
        <w:spacing w:after="0"/>
        <w:ind w:left="0"/>
        <w:jc w:val="both"/>
      </w:pPr>
      <w:r>
        <w:rPr>
          <w:rFonts w:ascii="Times New Roman"/>
          <w:b w:val="false"/>
          <w:i w:val="false"/>
          <w:color w:val="000000"/>
          <w:sz w:val="28"/>
        </w:rPr>
        <w:t>(наименование организатора торгов)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 в соответствии с приложением 1 к настоящим Правилам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государственными ценными бумагами,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государственными ценными бумагами,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государственными ценными бумагами,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валютными сделками,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валютными сделками,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валютными сделками,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процентными сделками,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процентными сделками,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процентными сделками,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не государственными ценными бумагами,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не государственными ценными бумагами,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не государственными ценными бумагами,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прочими операциями,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прочими операциями,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прочими операциями,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 w:id="211"/>
      <w:r>
        <w:rPr>
          <w:rFonts w:ascii="Times New Roman"/>
          <w:b w:val="false"/>
          <w:i w:val="false"/>
          <w:color w:val="000000"/>
          <w:sz w:val="28"/>
        </w:rPr>
        <w:t>
      Первый руководитель или лицо, уполномоченное на подписание отчета</w:t>
      </w:r>
    </w:p>
    <w:bookmarkEnd w:id="211"/>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                   _______________</w:t>
      </w:r>
    </w:p>
    <w:p>
      <w:pPr>
        <w:spacing w:after="0"/>
        <w:ind w:left="0"/>
        <w:jc w:val="both"/>
      </w:pPr>
      <w:r>
        <w:rPr>
          <w:rFonts w:ascii="Times New Roman"/>
          <w:b w:val="false"/>
          <w:i w:val="false"/>
          <w:color w:val="000000"/>
          <w:sz w:val="28"/>
        </w:rPr>
        <w:t>(подпись)                         (номер телефона)</w:t>
      </w:r>
    </w:p>
    <w:p>
      <w:pPr>
        <w:spacing w:after="0"/>
        <w:ind w:left="0"/>
        <w:jc w:val="both"/>
      </w:pPr>
      <w:r>
        <w:rPr>
          <w:rFonts w:ascii="Times New Roman"/>
          <w:b w:val="false"/>
          <w:i w:val="false"/>
          <w:color w:val="000000"/>
          <w:sz w:val="28"/>
        </w:rPr>
        <w:t>Дата подписания отчета "_____" _______________ 20 ___ года</w:t>
      </w:r>
    </w:p>
    <w:p>
      <w:pPr>
        <w:spacing w:after="0"/>
        <w:ind w:left="0"/>
        <w:jc w:val="both"/>
      </w:pPr>
      <w:r>
        <w:rPr>
          <w:rFonts w:ascii="Times New Roman"/>
          <w:b w:val="false"/>
          <w:i w:val="false"/>
          <w:color w:val="000000"/>
          <w:sz w:val="28"/>
        </w:rPr>
        <w:t>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w:t>
            </w:r>
            <w:r>
              <w:br/>
            </w:r>
            <w:r>
              <w:rPr>
                <w:rFonts w:ascii="Times New Roman"/>
                <w:b w:val="false"/>
                <w:i w:val="false"/>
                <w:color w:val="000000"/>
                <w:sz w:val="20"/>
              </w:rPr>
              <w:t>расшифровки производных</w:t>
            </w:r>
            <w:r>
              <w:br/>
            </w:r>
            <w:r>
              <w:rPr>
                <w:rFonts w:ascii="Times New Roman"/>
                <w:b w:val="false"/>
                <w:i w:val="false"/>
                <w:color w:val="000000"/>
                <w:sz w:val="20"/>
              </w:rPr>
              <w:t>финансовых инструментов,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405" w:id="2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w:t>
      </w:r>
    </w:p>
    <w:bookmarkEnd w:id="212"/>
    <w:bookmarkStart w:name="z406" w:id="213"/>
    <w:p>
      <w:pPr>
        <w:spacing w:after="0"/>
        <w:ind w:left="0"/>
        <w:jc w:val="left"/>
      </w:pPr>
      <w:r>
        <w:rPr>
          <w:rFonts w:ascii="Times New Roman"/>
          <w:b/>
          <w:i w:val="false"/>
          <w:color w:val="000000"/>
        </w:rPr>
        <w:t xml:space="preserve"> Расшифровка производных финансовых инструментов, взвешенных с</w:t>
      </w:r>
      <w:r>
        <w:br/>
      </w:r>
      <w:r>
        <w:rPr>
          <w:rFonts w:ascii="Times New Roman"/>
          <w:b/>
          <w:i w:val="false"/>
          <w:color w:val="000000"/>
        </w:rPr>
        <w:t>учетом кредитного риска</w:t>
      </w:r>
    </w:p>
    <w:bookmarkEnd w:id="213"/>
    <w:bookmarkStart w:name="z407" w:id="214"/>
    <w:p>
      <w:pPr>
        <w:spacing w:after="0"/>
        <w:ind w:left="0"/>
        <w:jc w:val="left"/>
      </w:pPr>
      <w:r>
        <w:rPr>
          <w:rFonts w:ascii="Times New Roman"/>
          <w:b/>
          <w:i w:val="false"/>
          <w:color w:val="000000"/>
        </w:rPr>
        <w:t xml:space="preserve"> Глава 1. Общие положения</w:t>
      </w:r>
    </w:p>
    <w:bookmarkEnd w:id="214"/>
    <w:bookmarkStart w:name="z408" w:id="21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"Расшифровка производных финансовых инструментов, взвешенных с учетом кредитного риска" (далее - Форма).</w:t>
      </w:r>
    </w:p>
    <w:bookmarkEnd w:id="215"/>
    <w:bookmarkStart w:name="z409" w:id="216"/>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16"/>
    <w:bookmarkStart w:name="z410" w:id="217"/>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217"/>
    <w:bookmarkStart w:name="z411" w:id="21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8"/>
    <w:bookmarkStart w:name="z412" w:id="219"/>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219"/>
    <w:bookmarkStart w:name="z413" w:id="220"/>
    <w:p>
      <w:pPr>
        <w:spacing w:after="0"/>
        <w:ind w:left="0"/>
        <w:jc w:val="left"/>
      </w:pPr>
      <w:r>
        <w:rPr>
          <w:rFonts w:ascii="Times New Roman"/>
          <w:b/>
          <w:i w:val="false"/>
          <w:color w:val="000000"/>
        </w:rPr>
        <w:t xml:space="preserve"> Глава 2. Пояснение по заполнению Формы</w:t>
      </w:r>
    </w:p>
    <w:bookmarkEnd w:id="220"/>
    <w:bookmarkStart w:name="z414" w:id="221"/>
    <w:p>
      <w:pPr>
        <w:spacing w:after="0"/>
        <w:ind w:left="0"/>
        <w:jc w:val="both"/>
      </w:pPr>
      <w:r>
        <w:rPr>
          <w:rFonts w:ascii="Times New Roman"/>
          <w:b w:val="false"/>
          <w:i w:val="false"/>
          <w:color w:val="000000"/>
          <w:sz w:val="28"/>
        </w:rPr>
        <w:t>
      6. Кредитный риск по производным финансовым инструментам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w:t>
      </w:r>
    </w:p>
    <w:bookmarkEnd w:id="221"/>
    <w:bookmarkStart w:name="z415" w:id="222"/>
    <w:p>
      <w:pPr>
        <w:spacing w:after="0"/>
        <w:ind w:left="0"/>
        <w:jc w:val="both"/>
      </w:pPr>
      <w:r>
        <w:rPr>
          <w:rFonts w:ascii="Times New Roman"/>
          <w:b w:val="false"/>
          <w:i w:val="false"/>
          <w:color w:val="000000"/>
          <w:sz w:val="28"/>
        </w:rPr>
        <w:t>
      7.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4</w:t>
            </w:r>
            <w:r>
              <w:br/>
            </w:r>
            <w:r>
              <w:rPr>
                <w:rFonts w:ascii="Times New Roman"/>
                <w:b w:val="false"/>
                <w:i w:val="false"/>
                <w:color w:val="000000"/>
                <w:sz w:val="20"/>
              </w:rPr>
              <w:t>к Правилам и 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420" w:id="2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3"/>
    <w:bookmarkStart w:name="z421" w:id="224"/>
    <w:p>
      <w:pPr>
        <w:spacing w:after="0"/>
        <w:ind w:left="0"/>
        <w:jc w:val="left"/>
      </w:pPr>
      <w:r>
        <w:rPr>
          <w:rFonts w:ascii="Times New Roman"/>
          <w:b/>
          <w:i w:val="false"/>
          <w:color w:val="000000"/>
        </w:rPr>
        <w:t xml:space="preserve"> Расшифровка коэффициента текущей ликвидности К2</w:t>
      </w:r>
    </w:p>
    <w:bookmarkEnd w:id="224"/>
    <w:bookmarkStart w:name="z422" w:id="225"/>
    <w:p>
      <w:pPr>
        <w:spacing w:after="0"/>
        <w:ind w:left="0"/>
        <w:jc w:val="left"/>
      </w:pPr>
      <w:r>
        <w:rPr>
          <w:rFonts w:ascii="Times New Roman"/>
          <w:b/>
          <w:i w:val="false"/>
          <w:color w:val="000000"/>
        </w:rPr>
        <w:t xml:space="preserve"> Отчетный период: по состоянию на "____" ________________ 20___ года</w:t>
      </w:r>
    </w:p>
    <w:bookmarkEnd w:id="225"/>
    <w:p>
      <w:pPr>
        <w:spacing w:after="0"/>
        <w:ind w:left="0"/>
        <w:jc w:val="both"/>
      </w:pPr>
      <w:bookmarkStart w:name="z423" w:id="226"/>
      <w:r>
        <w:rPr>
          <w:rFonts w:ascii="Times New Roman"/>
          <w:b w:val="false"/>
          <w:i w:val="false"/>
          <w:color w:val="000000"/>
          <w:sz w:val="28"/>
        </w:rPr>
        <w:t>
      Индекс: ТА-4_ОТ</w:t>
      </w:r>
    </w:p>
    <w:bookmarkEnd w:id="226"/>
    <w:p>
      <w:pPr>
        <w:spacing w:after="0"/>
        <w:ind w:left="0"/>
        <w:jc w:val="both"/>
      </w:pPr>
      <w:r>
        <w:rPr>
          <w:rFonts w:ascii="Times New Roman"/>
          <w:b w:val="false"/>
          <w:i w:val="false"/>
          <w:color w:val="000000"/>
          <w:sz w:val="28"/>
        </w:rPr>
        <w:t xml:space="preserve">       Периодичность: ежеквартальная</w:t>
      </w:r>
    </w:p>
    <w:p>
      <w:pPr>
        <w:spacing w:after="0"/>
        <w:ind w:left="0"/>
        <w:jc w:val="both"/>
      </w:pPr>
      <w:r>
        <w:rPr>
          <w:rFonts w:ascii="Times New Roman"/>
          <w:b w:val="false"/>
          <w:i w:val="false"/>
          <w:color w:val="000000"/>
          <w:sz w:val="28"/>
        </w:rPr>
        <w:t xml:space="preserve">       Представляет: организатор торгов</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227"/>
    <w:p>
      <w:pPr>
        <w:spacing w:after="0"/>
        <w:ind w:left="0"/>
        <w:jc w:val="both"/>
      </w:pPr>
      <w:r>
        <w:rPr>
          <w:rFonts w:ascii="Times New Roman"/>
          <w:b w:val="false"/>
          <w:i w:val="false"/>
          <w:color w:val="000000"/>
          <w:sz w:val="28"/>
        </w:rPr>
        <w:t>
      __________________________________________________________ (наименование организатора торгов)</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организатора торгов перед участниками торгов по деньгам участников торгов, которые находятся на корреспондентских счетах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нетто-требований участников торгов к организатору торгов, по которой организатор торгов несет ответственность собственными средствами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максимального ущерба членам организатора торгов по всем категориям членства, которая подлежит возмещению организатором торгов в результате наступления технического сбоя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1" w:id="228"/>
      <w:r>
        <w:rPr>
          <w:rFonts w:ascii="Times New Roman"/>
          <w:b w:val="false"/>
          <w:i w:val="false"/>
          <w:color w:val="000000"/>
          <w:sz w:val="28"/>
        </w:rPr>
        <w:t>
      Первый руководитель или лицо, уполномоченное на подписание отчета</w:t>
      </w:r>
    </w:p>
    <w:bookmarkEnd w:id="228"/>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                   _______________</w:t>
      </w:r>
    </w:p>
    <w:p>
      <w:pPr>
        <w:spacing w:after="0"/>
        <w:ind w:left="0"/>
        <w:jc w:val="both"/>
      </w:pPr>
      <w:r>
        <w:rPr>
          <w:rFonts w:ascii="Times New Roman"/>
          <w:b w:val="false"/>
          <w:i w:val="false"/>
          <w:color w:val="000000"/>
          <w:sz w:val="28"/>
        </w:rPr>
        <w:t>(подпись)                          (номер телефона)</w:t>
      </w:r>
    </w:p>
    <w:p>
      <w:pPr>
        <w:spacing w:after="0"/>
        <w:ind w:left="0"/>
        <w:jc w:val="both"/>
      </w:pPr>
      <w:r>
        <w:rPr>
          <w:rFonts w:ascii="Times New Roman"/>
          <w:b w:val="false"/>
          <w:i w:val="false"/>
          <w:color w:val="000000"/>
          <w:sz w:val="28"/>
        </w:rPr>
        <w:t>Дата подписания отчета "_____" _______________ 20 ___ года</w:t>
      </w:r>
    </w:p>
    <w:p>
      <w:pPr>
        <w:spacing w:after="0"/>
        <w:ind w:left="0"/>
        <w:jc w:val="both"/>
      </w:pPr>
      <w:r>
        <w:rPr>
          <w:rFonts w:ascii="Times New Roman"/>
          <w:b w:val="false"/>
          <w:i w:val="false"/>
          <w:color w:val="000000"/>
          <w:sz w:val="28"/>
        </w:rPr>
        <w:t>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w:t>
            </w:r>
            <w:r>
              <w:br/>
            </w:r>
            <w:r>
              <w:rPr>
                <w:rFonts w:ascii="Times New Roman"/>
                <w:b w:val="false"/>
                <w:i w:val="false"/>
                <w:color w:val="000000"/>
                <w:sz w:val="20"/>
              </w:rPr>
              <w:t>расшифровки коэффициента</w:t>
            </w:r>
            <w:r>
              <w:br/>
            </w:r>
            <w:r>
              <w:rPr>
                <w:rFonts w:ascii="Times New Roman"/>
                <w:b w:val="false"/>
                <w:i w:val="false"/>
                <w:color w:val="000000"/>
                <w:sz w:val="20"/>
              </w:rPr>
              <w:t>текущей</w:t>
            </w:r>
            <w:r>
              <w:br/>
            </w:r>
            <w:r>
              <w:rPr>
                <w:rFonts w:ascii="Times New Roman"/>
                <w:b w:val="false"/>
                <w:i w:val="false"/>
                <w:color w:val="000000"/>
                <w:sz w:val="20"/>
              </w:rPr>
              <w:t>ликвидности К2</w:t>
            </w:r>
          </w:p>
        </w:tc>
      </w:tr>
    </w:tbl>
    <w:bookmarkStart w:name="z436" w:id="2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w:t>
      </w:r>
    </w:p>
    <w:bookmarkEnd w:id="229"/>
    <w:bookmarkStart w:name="z437" w:id="230"/>
    <w:p>
      <w:pPr>
        <w:spacing w:after="0"/>
        <w:ind w:left="0"/>
        <w:jc w:val="left"/>
      </w:pPr>
      <w:r>
        <w:rPr>
          <w:rFonts w:ascii="Times New Roman"/>
          <w:b/>
          <w:i w:val="false"/>
          <w:color w:val="000000"/>
        </w:rPr>
        <w:t xml:space="preserve"> Расшифровка коэффициента текущей ликвидности К2</w:t>
      </w:r>
    </w:p>
    <w:bookmarkEnd w:id="230"/>
    <w:bookmarkStart w:name="z438" w:id="231"/>
    <w:p>
      <w:pPr>
        <w:spacing w:after="0"/>
        <w:ind w:left="0"/>
        <w:jc w:val="left"/>
      </w:pPr>
      <w:r>
        <w:rPr>
          <w:rFonts w:ascii="Times New Roman"/>
          <w:b/>
          <w:i w:val="false"/>
          <w:color w:val="000000"/>
        </w:rPr>
        <w:t xml:space="preserve"> Глава 1. Общие положения</w:t>
      </w:r>
    </w:p>
    <w:bookmarkEnd w:id="231"/>
    <w:bookmarkStart w:name="z439" w:id="23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"Расшифровка коэффициента текущей ликвидности К2" (далее - Форма).</w:t>
      </w:r>
    </w:p>
    <w:bookmarkEnd w:id="232"/>
    <w:bookmarkStart w:name="z440" w:id="233"/>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33"/>
    <w:bookmarkStart w:name="z441" w:id="234"/>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234"/>
    <w:bookmarkStart w:name="z442" w:id="23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35"/>
    <w:bookmarkStart w:name="z443" w:id="236"/>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236"/>
    <w:bookmarkStart w:name="z444" w:id="237"/>
    <w:p>
      <w:pPr>
        <w:spacing w:after="0"/>
        <w:ind w:left="0"/>
        <w:jc w:val="left"/>
      </w:pPr>
      <w:r>
        <w:rPr>
          <w:rFonts w:ascii="Times New Roman"/>
          <w:b/>
          <w:i w:val="false"/>
          <w:color w:val="000000"/>
        </w:rPr>
        <w:t xml:space="preserve"> Глава 2. Пояснение по заполнению Формы</w:t>
      </w:r>
    </w:p>
    <w:bookmarkEnd w:id="237"/>
    <w:bookmarkStart w:name="z445" w:id="238"/>
    <w:p>
      <w:pPr>
        <w:spacing w:after="0"/>
        <w:ind w:left="0"/>
        <w:jc w:val="both"/>
      </w:pPr>
      <w:r>
        <w:rPr>
          <w:rFonts w:ascii="Times New Roman"/>
          <w:b w:val="false"/>
          <w:i w:val="false"/>
          <w:color w:val="000000"/>
          <w:sz w:val="28"/>
        </w:rPr>
        <w:t>
      6. Коэффициент текущей ликвидности организатора торгов рассчитывается на среднемесячной основе в соответствии с пунктом 8 настоящих Правил.</w:t>
      </w:r>
    </w:p>
    <w:bookmarkEnd w:id="238"/>
    <w:bookmarkStart w:name="z446" w:id="239"/>
    <w:p>
      <w:pPr>
        <w:spacing w:after="0"/>
        <w:ind w:left="0"/>
        <w:jc w:val="both"/>
      </w:pPr>
      <w:r>
        <w:rPr>
          <w:rFonts w:ascii="Times New Roman"/>
          <w:b w:val="false"/>
          <w:i w:val="false"/>
          <w:color w:val="000000"/>
          <w:sz w:val="28"/>
        </w:rPr>
        <w:t>
      7. Расчет высоколиквидных активов производится в соответствии с пунктом 9 настоящих Правил.</w:t>
      </w:r>
    </w:p>
    <w:bookmarkEnd w:id="239"/>
    <w:bookmarkStart w:name="z447" w:id="240"/>
    <w:p>
      <w:pPr>
        <w:spacing w:after="0"/>
        <w:ind w:left="0"/>
        <w:jc w:val="both"/>
      </w:pPr>
      <w:r>
        <w:rPr>
          <w:rFonts w:ascii="Times New Roman"/>
          <w:b w:val="false"/>
          <w:i w:val="false"/>
          <w:color w:val="000000"/>
          <w:sz w:val="28"/>
        </w:rPr>
        <w:t>
      8. Расчет показателей для коэффициента К2 производится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5</w:t>
            </w:r>
            <w:r>
              <w:br/>
            </w:r>
            <w:r>
              <w:rPr>
                <w:rFonts w:ascii="Times New Roman"/>
                <w:b w:val="false"/>
                <w:i w:val="false"/>
                <w:color w:val="000000"/>
                <w:sz w:val="20"/>
              </w:rPr>
              <w:t>к Правилам и 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452" w:id="2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1"/>
    <w:bookmarkStart w:name="z453" w:id="242"/>
    <w:p>
      <w:pPr>
        <w:spacing w:after="0"/>
        <w:ind w:left="0"/>
        <w:jc w:val="left"/>
      </w:pPr>
      <w:r>
        <w:rPr>
          <w:rFonts w:ascii="Times New Roman"/>
          <w:b/>
          <w:i w:val="false"/>
          <w:color w:val="000000"/>
        </w:rPr>
        <w:t xml:space="preserve"> Отчет о выполнении пруденциальных нормативов</w:t>
      </w:r>
    </w:p>
    <w:bookmarkEnd w:id="242"/>
    <w:bookmarkStart w:name="z454" w:id="243"/>
    <w:p>
      <w:pPr>
        <w:spacing w:after="0"/>
        <w:ind w:left="0"/>
        <w:jc w:val="left"/>
      </w:pPr>
      <w:r>
        <w:rPr>
          <w:rFonts w:ascii="Times New Roman"/>
          <w:b/>
          <w:i w:val="false"/>
          <w:color w:val="000000"/>
        </w:rPr>
        <w:t xml:space="preserve"> Отчетный период: по состоянию на "____" ________________ 20___ года</w:t>
      </w:r>
    </w:p>
    <w:bookmarkEnd w:id="243"/>
    <w:p>
      <w:pPr>
        <w:spacing w:after="0"/>
        <w:ind w:left="0"/>
        <w:jc w:val="both"/>
      </w:pPr>
      <w:bookmarkStart w:name="z455" w:id="244"/>
      <w:r>
        <w:rPr>
          <w:rFonts w:ascii="Times New Roman"/>
          <w:b w:val="false"/>
          <w:i w:val="false"/>
          <w:color w:val="000000"/>
          <w:sz w:val="28"/>
        </w:rPr>
        <w:t>
      Индекс: ТА-5_ОТ</w:t>
      </w:r>
    </w:p>
    <w:bookmarkEnd w:id="244"/>
    <w:p>
      <w:pPr>
        <w:spacing w:after="0"/>
        <w:ind w:left="0"/>
        <w:jc w:val="both"/>
      </w:pPr>
      <w:r>
        <w:rPr>
          <w:rFonts w:ascii="Times New Roman"/>
          <w:b w:val="false"/>
          <w:i w:val="false"/>
          <w:color w:val="000000"/>
          <w:sz w:val="28"/>
        </w:rPr>
        <w:t xml:space="preserve">       Периодичность: ежеквартальная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Представляет: организатор торгов</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bookmarkStart w:name="z460" w:id="245"/>
    <w:p>
      <w:pPr>
        <w:spacing w:after="0"/>
        <w:ind w:left="0"/>
        <w:jc w:val="both"/>
      </w:pPr>
      <w:r>
        <w:rPr>
          <w:rFonts w:ascii="Times New Roman"/>
          <w:b w:val="false"/>
          <w:i w:val="false"/>
          <w:color w:val="000000"/>
          <w:sz w:val="28"/>
        </w:rPr>
        <w:t>
      Форма</w:t>
      </w:r>
    </w:p>
    <w:bookmarkEnd w:id="245"/>
    <w:p>
      <w:pPr>
        <w:spacing w:after="0"/>
        <w:ind w:left="0"/>
        <w:jc w:val="both"/>
      </w:pPr>
      <w:bookmarkStart w:name="z461" w:id="246"/>
      <w:r>
        <w:rPr>
          <w:rFonts w:ascii="Times New Roman"/>
          <w:b w:val="false"/>
          <w:i w:val="false"/>
          <w:color w:val="000000"/>
          <w:sz w:val="28"/>
        </w:rPr>
        <w:t>
      _____________________________________________________________</w:t>
      </w:r>
    </w:p>
    <w:bookmarkEnd w:id="246"/>
    <w:p>
      <w:pPr>
        <w:spacing w:after="0"/>
        <w:ind w:left="0"/>
        <w:jc w:val="both"/>
      </w:pPr>
      <w:r>
        <w:rPr>
          <w:rFonts w:ascii="Times New Roman"/>
          <w:b w:val="false"/>
          <w:i w:val="false"/>
          <w:color w:val="000000"/>
          <w:sz w:val="28"/>
        </w:rPr>
        <w:t>(наименование организатора торгов)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части простых акций, за минусом собственных выкупленных простых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части привилегированных акций, за минусом собственных выкупленных привилегированных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дохода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лицензионного программного обеспечения, приобретенного для целей основной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организатора торгов (вложений организатора торгов) в акции (доли участия в уставном капитале)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организатора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годового объема торгов финансовыми инструментами в торговой системе организатора торгов за последние истекшие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высоколиквидных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сумма обязательств организатора торгов перед участниками торгов по деньгам участников торгов, которые находятся на корреспондентских счетах организатора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сумма нетто-требований участников торгов к организатору торгов, по которым организатор торгов несет ответственность собственными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сумма максимального ущерба членам организатора торгов по всем категориям членства, которая подлежит возмещению организатором торгов в результате наступления технического сбоя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организатора торгов по всем категориям членства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3" w:id="247"/>
      <w:r>
        <w:rPr>
          <w:rFonts w:ascii="Times New Roman"/>
          <w:b w:val="false"/>
          <w:i w:val="false"/>
          <w:color w:val="000000"/>
          <w:sz w:val="28"/>
        </w:rPr>
        <w:t>
      Первый руководитель или лицо, уполномоченное на подписание отчета</w:t>
      </w:r>
    </w:p>
    <w:bookmarkEnd w:id="247"/>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                   _______________</w:t>
      </w:r>
    </w:p>
    <w:p>
      <w:pPr>
        <w:spacing w:after="0"/>
        <w:ind w:left="0"/>
        <w:jc w:val="both"/>
      </w:pPr>
      <w:r>
        <w:rPr>
          <w:rFonts w:ascii="Times New Roman"/>
          <w:b w:val="false"/>
          <w:i w:val="false"/>
          <w:color w:val="000000"/>
          <w:sz w:val="28"/>
        </w:rPr>
        <w:t>(подпись)                         (номер телефона)</w:t>
      </w:r>
    </w:p>
    <w:p>
      <w:pPr>
        <w:spacing w:after="0"/>
        <w:ind w:left="0"/>
        <w:jc w:val="both"/>
      </w:pPr>
      <w:r>
        <w:rPr>
          <w:rFonts w:ascii="Times New Roman"/>
          <w:b w:val="false"/>
          <w:i w:val="false"/>
          <w:color w:val="000000"/>
          <w:sz w:val="28"/>
        </w:rPr>
        <w:t>Дата подписания отчета "_____" _______________ 20 ___ года</w:t>
      </w:r>
    </w:p>
    <w:p>
      <w:pPr>
        <w:spacing w:after="0"/>
        <w:ind w:left="0"/>
        <w:jc w:val="both"/>
      </w:pPr>
      <w:r>
        <w:rPr>
          <w:rFonts w:ascii="Times New Roman"/>
          <w:b w:val="false"/>
          <w:i w:val="false"/>
          <w:color w:val="000000"/>
          <w:sz w:val="28"/>
        </w:rPr>
        <w:t>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bookmarkStart w:name="z468" w:id="2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w:t>
      </w:r>
    </w:p>
    <w:bookmarkEnd w:id="248"/>
    <w:bookmarkStart w:name="z469" w:id="249"/>
    <w:p>
      <w:pPr>
        <w:spacing w:after="0"/>
        <w:ind w:left="0"/>
        <w:jc w:val="left"/>
      </w:pPr>
      <w:r>
        <w:rPr>
          <w:rFonts w:ascii="Times New Roman"/>
          <w:b/>
          <w:i w:val="false"/>
          <w:color w:val="000000"/>
        </w:rPr>
        <w:t xml:space="preserve"> Отчет о выполнении пруденциальных нормативов</w:t>
      </w:r>
    </w:p>
    <w:bookmarkEnd w:id="249"/>
    <w:bookmarkStart w:name="z470" w:id="250"/>
    <w:p>
      <w:pPr>
        <w:spacing w:after="0"/>
        <w:ind w:left="0"/>
        <w:jc w:val="left"/>
      </w:pPr>
      <w:r>
        <w:rPr>
          <w:rFonts w:ascii="Times New Roman"/>
          <w:b/>
          <w:i w:val="false"/>
          <w:color w:val="000000"/>
        </w:rPr>
        <w:t xml:space="preserve"> Глава 1. Общие положения</w:t>
      </w:r>
    </w:p>
    <w:bookmarkEnd w:id="250"/>
    <w:bookmarkStart w:name="z471" w:id="25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251"/>
    <w:bookmarkStart w:name="z472" w:id="252"/>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52"/>
    <w:bookmarkStart w:name="z473" w:id="253"/>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253"/>
    <w:bookmarkStart w:name="z474" w:id="25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54"/>
    <w:bookmarkStart w:name="z475" w:id="255"/>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255"/>
    <w:bookmarkStart w:name="z476" w:id="256"/>
    <w:p>
      <w:pPr>
        <w:spacing w:after="0"/>
        <w:ind w:left="0"/>
        <w:jc w:val="left"/>
      </w:pPr>
      <w:r>
        <w:rPr>
          <w:rFonts w:ascii="Times New Roman"/>
          <w:b/>
          <w:i w:val="false"/>
          <w:color w:val="000000"/>
        </w:rPr>
        <w:t xml:space="preserve"> Глава 2. Пояснение по заполнению Формы</w:t>
      </w:r>
    </w:p>
    <w:bookmarkEnd w:id="256"/>
    <w:bookmarkStart w:name="z477" w:id="257"/>
    <w:p>
      <w:pPr>
        <w:spacing w:after="0"/>
        <w:ind w:left="0"/>
        <w:jc w:val="both"/>
      </w:pPr>
      <w:r>
        <w:rPr>
          <w:rFonts w:ascii="Times New Roman"/>
          <w:b w:val="false"/>
          <w:i w:val="false"/>
          <w:color w:val="000000"/>
          <w:sz w:val="28"/>
        </w:rPr>
        <w:t>
      6. В графе 3 заполняются данные на конец последнего календарного дня отчетного периода.</w:t>
      </w:r>
    </w:p>
    <w:bookmarkEnd w:id="257"/>
    <w:bookmarkStart w:name="z478" w:id="258"/>
    <w:p>
      <w:pPr>
        <w:spacing w:after="0"/>
        <w:ind w:left="0"/>
        <w:jc w:val="both"/>
      </w:pPr>
      <w:r>
        <w:rPr>
          <w:rFonts w:ascii="Times New Roman"/>
          <w:b w:val="false"/>
          <w:i w:val="false"/>
          <w:color w:val="000000"/>
          <w:sz w:val="28"/>
        </w:rPr>
        <w:t>
      7. Строка 11 заполняется в соответствии с требованиями подпункта 1) пункта 6 настоящих Правил.</w:t>
      </w:r>
    </w:p>
    <w:bookmarkEnd w:id="258"/>
    <w:bookmarkStart w:name="z479" w:id="259"/>
    <w:p>
      <w:pPr>
        <w:spacing w:after="0"/>
        <w:ind w:left="0"/>
        <w:jc w:val="both"/>
      </w:pPr>
      <w:r>
        <w:rPr>
          <w:rFonts w:ascii="Times New Roman"/>
          <w:b w:val="false"/>
          <w:i w:val="false"/>
          <w:color w:val="000000"/>
          <w:sz w:val="28"/>
        </w:rPr>
        <w:t>
      8. Строки 12, 13, 14 заполняется в соответствии с требованиями подпункта 2) пункта 6 настоящих Правил.</w:t>
      </w:r>
    </w:p>
    <w:bookmarkEnd w:id="259"/>
    <w:bookmarkStart w:name="z480" w:id="260"/>
    <w:p>
      <w:pPr>
        <w:spacing w:after="0"/>
        <w:ind w:left="0"/>
        <w:jc w:val="both"/>
      </w:pPr>
      <w:r>
        <w:rPr>
          <w:rFonts w:ascii="Times New Roman"/>
          <w:b w:val="false"/>
          <w:i w:val="false"/>
          <w:color w:val="000000"/>
          <w:sz w:val="28"/>
        </w:rPr>
        <w:t>
      9. Строка 16 заполняется в соответствии с требованиями подпункта 3) пункта 6 настоящих Правил.</w:t>
      </w:r>
    </w:p>
    <w:bookmarkEnd w:id="260"/>
    <w:bookmarkStart w:name="z481" w:id="261"/>
    <w:p>
      <w:pPr>
        <w:spacing w:after="0"/>
        <w:ind w:left="0"/>
        <w:jc w:val="both"/>
      </w:pPr>
      <w:r>
        <w:rPr>
          <w:rFonts w:ascii="Times New Roman"/>
          <w:b w:val="false"/>
          <w:i w:val="false"/>
          <w:color w:val="000000"/>
          <w:sz w:val="28"/>
        </w:rPr>
        <w:t xml:space="preserve">
      10. Строка 17 заполняется в соответствии с требованиями пункта 6 настоящих Правил. </w:t>
      </w:r>
    </w:p>
    <w:bookmarkEnd w:id="261"/>
    <w:bookmarkStart w:name="z482" w:id="262"/>
    <w:p>
      <w:pPr>
        <w:spacing w:after="0"/>
        <w:ind w:left="0"/>
        <w:jc w:val="both"/>
      </w:pPr>
      <w:r>
        <w:rPr>
          <w:rFonts w:ascii="Times New Roman"/>
          <w:b w:val="false"/>
          <w:i w:val="false"/>
          <w:color w:val="000000"/>
          <w:sz w:val="28"/>
        </w:rPr>
        <w:t>
      11. Строка 23 заполняется в соответствии с требованиями пунктов 8, 9 и 9-1 настоящих Правил.</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bl>
    <w:bookmarkStart w:name="z497" w:id="263"/>
    <w:p>
      <w:pPr>
        <w:spacing w:after="0"/>
        <w:ind w:left="0"/>
        <w:jc w:val="left"/>
      </w:pPr>
      <w:r>
        <w:rPr>
          <w:rFonts w:ascii="Times New Roman"/>
          <w:b/>
          <w:i w:val="false"/>
          <w:color w:val="000000"/>
        </w:rPr>
        <w:t xml:space="preserve"> Сведения об изменении состава руководящих работников</w:t>
      </w:r>
    </w:p>
    <w:bookmarkEnd w:id="263"/>
    <w:p>
      <w:pPr>
        <w:spacing w:after="0"/>
        <w:ind w:left="0"/>
        <w:jc w:val="both"/>
      </w:pPr>
      <w:r>
        <w:rPr>
          <w:rFonts w:ascii="Times New Roman"/>
          <w:b w:val="false"/>
          <w:i w:val="false"/>
          <w:color w:val="ff0000"/>
          <w:sz w:val="28"/>
        </w:rPr>
        <w:t xml:space="preserve">
      Сноска. Приложение 7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bl>
    <w:bookmarkStart w:name="z514" w:id="264"/>
    <w:p>
      <w:pPr>
        <w:spacing w:after="0"/>
        <w:ind w:left="0"/>
        <w:jc w:val="left"/>
      </w:pPr>
      <w:r>
        <w:rPr>
          <w:rFonts w:ascii="Times New Roman"/>
          <w:b/>
          <w:i w:val="false"/>
          <w:color w:val="000000"/>
        </w:rPr>
        <w:t xml:space="preserve"> Сведения о кандидате на должность руководящего работника</w:t>
      </w:r>
    </w:p>
    <w:bookmarkEnd w:id="264"/>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75</w:t>
            </w:r>
          </w:p>
        </w:tc>
      </w:tr>
    </w:tbl>
    <w:bookmarkStart w:name="z548" w:id="265"/>
    <w:p>
      <w:pPr>
        <w:spacing w:after="0"/>
        <w:ind w:left="0"/>
        <w:jc w:val="left"/>
      </w:pPr>
      <w:r>
        <w:rPr>
          <w:rFonts w:ascii="Times New Roman"/>
          <w:b/>
          <w:i w:val="false"/>
          <w:color w:val="000000"/>
        </w:rPr>
        <w:t xml:space="preserve"> Правила одобрения плана мероприятий, предусматривающего меры раннего реагирования</w:t>
      </w:r>
    </w:p>
    <w:bookmarkEnd w:id="265"/>
    <w:bookmarkStart w:name="z549" w:id="266"/>
    <w:p>
      <w:pPr>
        <w:spacing w:after="0"/>
        <w:ind w:left="0"/>
        <w:jc w:val="both"/>
      </w:pPr>
      <w:r>
        <w:rPr>
          <w:rFonts w:ascii="Times New Roman"/>
          <w:b w:val="false"/>
          <w:i w:val="false"/>
          <w:color w:val="000000"/>
          <w:sz w:val="28"/>
        </w:rPr>
        <w:t xml:space="preserve">
      1. Настоящие Правила одобрения плана мероприятий, предусматривающего меры раннего реагирования,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и определяют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страховой (перестраховочной) организации и (или) ее акционеров, страхового холдинга и (или) его крупных участников,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(деятельностью страховой группы) (далее - план мероприятий).</w:t>
      </w:r>
    </w:p>
    <w:bookmarkEnd w:id="266"/>
    <w:bookmarkStart w:name="z550" w:id="267"/>
    <w:p>
      <w:pPr>
        <w:spacing w:after="0"/>
        <w:ind w:left="0"/>
        <w:jc w:val="both"/>
      </w:pPr>
      <w:r>
        <w:rPr>
          <w:rFonts w:ascii="Times New Roman"/>
          <w:b w:val="false"/>
          <w:i w:val="false"/>
          <w:color w:val="000000"/>
          <w:sz w:val="28"/>
        </w:rPr>
        <w:t>
      2. Страховая (перестраховочная) организация и (или) ее акционеры, страховой холдинг и (или) его крупные участники разрабатывают и представляют в уполномоченный орган для одобрения план мероприятий.</w:t>
      </w:r>
    </w:p>
    <w:bookmarkEnd w:id="267"/>
    <w:bookmarkStart w:name="z551" w:id="268"/>
    <w:p>
      <w:pPr>
        <w:spacing w:after="0"/>
        <w:ind w:left="0"/>
        <w:jc w:val="both"/>
      </w:pPr>
      <w:r>
        <w:rPr>
          <w:rFonts w:ascii="Times New Roman"/>
          <w:b w:val="false"/>
          <w:i w:val="false"/>
          <w:color w:val="000000"/>
          <w:sz w:val="28"/>
        </w:rPr>
        <w:t>
      План мероприятий, не ограничиваясь нижеследующим, содержит следующую информацию:</w:t>
      </w:r>
    </w:p>
    <w:bookmarkEnd w:id="268"/>
    <w:bookmarkStart w:name="z552" w:id="269"/>
    <w:p>
      <w:pPr>
        <w:spacing w:after="0"/>
        <w:ind w:left="0"/>
        <w:jc w:val="both"/>
      </w:pPr>
      <w:r>
        <w:rPr>
          <w:rFonts w:ascii="Times New Roman"/>
          <w:b w:val="false"/>
          <w:i w:val="false"/>
          <w:color w:val="000000"/>
          <w:sz w:val="28"/>
        </w:rPr>
        <w:t>
      детальный анализ фактора, влияющего на ухудшение финансового положения страховой (перестраховочной) организации (страховой группы);</w:t>
      </w:r>
    </w:p>
    <w:bookmarkEnd w:id="269"/>
    <w:bookmarkStart w:name="z553" w:id="270"/>
    <w:p>
      <w:pPr>
        <w:spacing w:after="0"/>
        <w:ind w:left="0"/>
        <w:jc w:val="both"/>
      </w:pPr>
      <w:r>
        <w:rPr>
          <w:rFonts w:ascii="Times New Roman"/>
          <w:b w:val="false"/>
          <w:i w:val="false"/>
          <w:color w:val="000000"/>
          <w:sz w:val="28"/>
        </w:rPr>
        <w:t>
      прогноз фактора, влияющего на ухудшение финансового положения страховой (перестраховочной) организации (страховой группы), требующий достижения количественных показателей на ежемесячной основе, обоснование данного прогноза и негативные влияния на деятельность страховой (перестраховочной) организации (страховой группы);</w:t>
      </w:r>
    </w:p>
    <w:bookmarkEnd w:id="270"/>
    <w:bookmarkStart w:name="z554" w:id="271"/>
    <w:p>
      <w:pPr>
        <w:spacing w:after="0"/>
        <w:ind w:left="0"/>
        <w:jc w:val="both"/>
      </w:pPr>
      <w:r>
        <w:rPr>
          <w:rFonts w:ascii="Times New Roman"/>
          <w:b w:val="false"/>
          <w:i w:val="false"/>
          <w:color w:val="000000"/>
          <w:sz w:val="28"/>
        </w:rPr>
        <w:t>
      меры по улучшению фактора, влияющего на ухудшение финансового положения страховой (перестраховочной) организации (страховой группы), доведению до уровня, не представляющего угрозу (дополнительных рисков) для деятельности страховой (перестраховочной) организации (страховой группы);</w:t>
      </w:r>
    </w:p>
    <w:bookmarkEnd w:id="271"/>
    <w:bookmarkStart w:name="z555" w:id="272"/>
    <w:p>
      <w:pPr>
        <w:spacing w:after="0"/>
        <w:ind w:left="0"/>
        <w:jc w:val="both"/>
      </w:pPr>
      <w:r>
        <w:rPr>
          <w:rFonts w:ascii="Times New Roman"/>
          <w:b w:val="false"/>
          <w:i w:val="false"/>
          <w:color w:val="000000"/>
          <w:sz w:val="28"/>
        </w:rPr>
        <w:t>
      сроки исполнения плана мероприятий по каждому его пункту;</w:t>
      </w:r>
    </w:p>
    <w:bookmarkEnd w:id="272"/>
    <w:bookmarkStart w:name="z556" w:id="273"/>
    <w:p>
      <w:pPr>
        <w:spacing w:after="0"/>
        <w:ind w:left="0"/>
        <w:jc w:val="both"/>
      </w:pPr>
      <w:r>
        <w:rPr>
          <w:rFonts w:ascii="Times New Roman"/>
          <w:b w:val="false"/>
          <w:i w:val="false"/>
          <w:color w:val="000000"/>
          <w:sz w:val="28"/>
        </w:rPr>
        <w:t>
      перечень должностных лиц, ответственных за исполнение плана мероприятий (с указанием должностных лиц, ответственных за исполнение по каждому пункту плана мероприятий).</w:t>
      </w:r>
    </w:p>
    <w:bookmarkEnd w:id="273"/>
    <w:bookmarkStart w:name="z557" w:id="274"/>
    <w:p>
      <w:pPr>
        <w:spacing w:after="0"/>
        <w:ind w:left="0"/>
        <w:jc w:val="both"/>
      </w:pPr>
      <w:r>
        <w:rPr>
          <w:rFonts w:ascii="Times New Roman"/>
          <w:b w:val="false"/>
          <w:i w:val="false"/>
          <w:color w:val="000000"/>
          <w:sz w:val="28"/>
        </w:rPr>
        <w:t>
      В случае, если мероприятия предусматривают получение денег, указываются предполагаемый размер и источники их получения.</w:t>
      </w:r>
    </w:p>
    <w:bookmarkEnd w:id="274"/>
    <w:bookmarkStart w:name="z558" w:id="275"/>
    <w:p>
      <w:pPr>
        <w:spacing w:after="0"/>
        <w:ind w:left="0"/>
        <w:jc w:val="both"/>
      </w:pPr>
      <w:r>
        <w:rPr>
          <w:rFonts w:ascii="Times New Roman"/>
          <w:b w:val="false"/>
          <w:i w:val="false"/>
          <w:color w:val="000000"/>
          <w:sz w:val="28"/>
        </w:rPr>
        <w:t>
      Уполномоченный орган рассматривает план мероприятий, представленный страховой (перестраховочной) организацией и (или) ее акционерами, страховым холдингом и (или) его крупными участниками.</w:t>
      </w:r>
    </w:p>
    <w:bookmarkEnd w:id="275"/>
    <w:bookmarkStart w:name="z559" w:id="276"/>
    <w:p>
      <w:pPr>
        <w:spacing w:after="0"/>
        <w:ind w:left="0"/>
        <w:jc w:val="both"/>
      </w:pPr>
      <w:r>
        <w:rPr>
          <w:rFonts w:ascii="Times New Roman"/>
          <w:b w:val="false"/>
          <w:i w:val="false"/>
          <w:color w:val="000000"/>
          <w:sz w:val="28"/>
        </w:rPr>
        <w:t>
      При несогласии уполномоченного органа с планом мероприятий, предоставленным страховой (перестраховочной) организацией и (или) ее акционерами, страховым холдингом и (или) его крупными участниками на рассмотрение, уполномоченный орган направляет по нему письменные замечания либо проводит совместные обсуждения со страховой (перестраховочной) организацией и (или) ее акционерами, страховым холдингом и (или) его крупными участниками с целью доработки плана мероприятий. При этом страховая (перестраховочная) организация и (или) ее акционеры, страховой холдинг и (или) его крупные участники корректируют план мероприятий для устранения замечаний уполномоченного органа или при несогласии с такими замечаниями предоставляют свои обоснования.</w:t>
      </w:r>
    </w:p>
    <w:bookmarkEnd w:id="276"/>
    <w:bookmarkStart w:name="z560" w:id="277"/>
    <w:p>
      <w:pPr>
        <w:spacing w:after="0"/>
        <w:ind w:left="0"/>
        <w:jc w:val="both"/>
      </w:pPr>
      <w:r>
        <w:rPr>
          <w:rFonts w:ascii="Times New Roman"/>
          <w:b w:val="false"/>
          <w:i w:val="false"/>
          <w:color w:val="000000"/>
          <w:sz w:val="28"/>
        </w:rPr>
        <w:t>
      Уполномоченный орган в письменной форме одобряет или не одобряет план мероприятий, представленный страховой (перестраховочной) организацией и (или) ее акционерами, страховым холдингом и (или) его крупными участниками.</w:t>
      </w:r>
    </w:p>
    <w:bookmarkEnd w:id="277"/>
    <w:bookmarkStart w:name="z561" w:id="278"/>
    <w:p>
      <w:pPr>
        <w:spacing w:after="0"/>
        <w:ind w:left="0"/>
        <w:jc w:val="both"/>
      </w:pPr>
      <w:r>
        <w:rPr>
          <w:rFonts w:ascii="Times New Roman"/>
          <w:b w:val="false"/>
          <w:i w:val="false"/>
          <w:color w:val="000000"/>
          <w:sz w:val="28"/>
        </w:rPr>
        <w:t>
      3. В случае самостоятельного выявления факторов, влияющих на ухудшение финансового положения страховой (перестраховочной) организации (страховой группы), страховая (перестраховочная) организация и (или) ее акционеры, страховой холдинг и (или) его крупные участники в течение 5 (пяти) рабочих дней со дня выявления указанных факторов представляют в уполномоченный орган план мероприятий, предусмотренный частью второй пункта 2 Правил.</w:t>
      </w:r>
    </w:p>
    <w:bookmarkEnd w:id="278"/>
    <w:bookmarkStart w:name="z562" w:id="279"/>
    <w:p>
      <w:pPr>
        <w:spacing w:after="0"/>
        <w:ind w:left="0"/>
        <w:jc w:val="both"/>
      </w:pPr>
      <w:r>
        <w:rPr>
          <w:rFonts w:ascii="Times New Roman"/>
          <w:b w:val="false"/>
          <w:i w:val="false"/>
          <w:color w:val="000000"/>
          <w:sz w:val="28"/>
        </w:rPr>
        <w:t>
      4. При выявлении факторов, влияющих на ухудшение финансового положения страховой (перестраховочной) организации, представление плана мероприятий не требуется по страховым (перестраховочным) организациям, в отношении которых действуют меры по улучшению финансового состояния и (или) минимизации рисков в форме письменного соглашения или плана мероприятий, представленного в рамках письменного предписания, примененные в связи с нарушением пруденциальных нормативов и других обязательных к соблюдению норм и лимитов, санкции в виде приостановления действия лицензии по всем классам страхования, консервации, принудительного выкупа акций, а также в случае подачи в уполномоченный орган ходатайства на получение разрешения на проведение добровольной реорганизации либо ликвидации страховой (перестраховочной) организации.</w:t>
      </w:r>
    </w:p>
    <w:bookmarkEnd w:id="2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