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7dd8" w14:textId="9c67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25 июля 2006 года № 65 "Об утверждении Правил осуществления инвестиционных операций Национального фонда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2018 года № 256. Зарегистрировано в Министерстве юстиции Республики Казахстан 14 декабря 2018 года № 17945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мая 2001 года № 655 "О договоре о доверительном управлении Национальным фондом Республики Казахстан", а также в целях обеспечения эффективности доверительного управления Национальным фондом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июля 2006 года № 65 "Об утверждении Правил осуществления инвестиционных операций Национального фонда Республики Казахстан" (зарегистрировано в Реестре государственной регистрации нормативных правовых актов под № 4361)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инвестиционных операций Национального фонда Республики Казахстан,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дополнить пунктом 35-5 следующего содержания:</w:t>
      </w:r>
    </w:p>
    <w:bookmarkEnd w:id="3"/>
    <w:bookmarkStart w:name="z8" w:id="4"/>
    <w:p>
      <w:pPr>
        <w:spacing w:after="0"/>
        <w:ind w:left="0"/>
        <w:jc w:val="both"/>
      </w:pPr>
      <w:r>
        <w:rPr>
          <w:rFonts w:ascii="Times New Roman"/>
          <w:b w:val="false"/>
          <w:i w:val="false"/>
          <w:color w:val="000000"/>
          <w:sz w:val="28"/>
        </w:rPr>
        <w:t>
      "35-5. В целях повышения доходности активов Фонда допускается осуществление операций по предоставлению ценных бумаг взаймы под залог (securities lending) в соответствии с главой 8-1 настоящих Правил.";</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"36. Эталонным портфелем стабилизационного портфеля является состав индекса ICE BofAML US 6-Month Treasury Bill Index. Данный индекс является индексом компании ICE Data Indices, состоящий из казначейских векселей США со сроком погашения до шести месяцев.</w:t>
      </w:r>
    </w:p>
    <w:bookmarkEnd w:id="5"/>
    <w:bookmarkStart w:name="z11" w:id="6"/>
    <w:p>
      <w:pPr>
        <w:spacing w:after="0"/>
        <w:ind w:left="0"/>
        <w:jc w:val="both"/>
      </w:pPr>
      <w:r>
        <w:rPr>
          <w:rFonts w:ascii="Times New Roman"/>
          <w:b w:val="false"/>
          <w:i w:val="false"/>
          <w:color w:val="000000"/>
          <w:sz w:val="28"/>
        </w:rPr>
        <w:t>
      Показатели доходности и риска рассчитываются ежедневно.";</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"39. Эмитенты корпоративных ценных бумаг в стабилизационном портфеле имеют долгосрочные кредитные рейтинги не ниже АА (Standard&amp;Poor’s)/Aа2 (Moody’s).</w:t>
      </w:r>
    </w:p>
    <w:bookmarkEnd w:id="7"/>
    <w:bookmarkStart w:name="z14" w:id="8"/>
    <w:p>
      <w:pPr>
        <w:spacing w:after="0"/>
        <w:ind w:left="0"/>
        <w:jc w:val="both"/>
      </w:pPr>
      <w:r>
        <w:rPr>
          <w:rFonts w:ascii="Times New Roman"/>
          <w:b w:val="false"/>
          <w:i w:val="false"/>
          <w:color w:val="000000"/>
          <w:sz w:val="28"/>
        </w:rPr>
        <w:t>
      Коммерческие ценные бумаги и депозитные сертификаты в стабилизационном портфеле имеют краткосрочные кредитные рейтинги не ниже А-1 (Standard&amp;Poor’s)/P-1 (Moody’s).";</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"44. Сберегательный портфель делится на портфель облигаций, портфель акций и портфель альтернативных инструментов.</w:t>
      </w:r>
    </w:p>
    <w:bookmarkEnd w:id="9"/>
    <w:bookmarkStart w:name="z17" w:id="10"/>
    <w:p>
      <w:pPr>
        <w:spacing w:after="0"/>
        <w:ind w:left="0"/>
        <w:jc w:val="both"/>
      </w:pPr>
      <w:r>
        <w:rPr>
          <w:rFonts w:ascii="Times New Roman"/>
          <w:b w:val="false"/>
          <w:i w:val="false"/>
          <w:color w:val="000000"/>
          <w:sz w:val="28"/>
        </w:rPr>
        <w:t>
      Портфель облигаций состоит из портфеля государственных облигаций развитых стран, портфеля государственных облигаций развивающихся стран и портфеля корпоративных облигаций.";</w:t>
      </w:r>
    </w:p>
    <w:bookmarkEnd w:id="10"/>
    <w:bookmarkStart w:name="z18" w:id="11"/>
    <w:p>
      <w:pPr>
        <w:spacing w:after="0"/>
        <w:ind w:left="0"/>
        <w:jc w:val="both"/>
      </w:pPr>
      <w:r>
        <w:rPr>
          <w:rFonts w:ascii="Times New Roman"/>
          <w:b w:val="false"/>
          <w:i w:val="false"/>
          <w:color w:val="000000"/>
          <w:sz w:val="28"/>
        </w:rPr>
        <w:t>
      дополнить пунктом 44-1 следующего содержания:</w:t>
      </w:r>
    </w:p>
    <w:bookmarkEnd w:id="11"/>
    <w:bookmarkStart w:name="z19" w:id="12"/>
    <w:p>
      <w:pPr>
        <w:spacing w:after="0"/>
        <w:ind w:left="0"/>
        <w:jc w:val="both"/>
      </w:pPr>
      <w:r>
        <w:rPr>
          <w:rFonts w:ascii="Times New Roman"/>
          <w:b w:val="false"/>
          <w:i w:val="false"/>
          <w:color w:val="000000"/>
          <w:sz w:val="28"/>
        </w:rPr>
        <w:t>
      "44-1. Инвестирование не менее 20 (двадцати) процентов портфеля облигаций осуществляется внешними управляющими активами Фонда.";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47-4</w:t>
      </w:r>
      <w:r>
        <w:rPr>
          <w:rFonts w:ascii="Times New Roman"/>
          <w:b w:val="false"/>
          <w:i w:val="false"/>
          <w:color w:val="000000"/>
          <w:sz w:val="28"/>
        </w:rPr>
        <w:t xml:space="preserve"> исключить;</w:t>
      </w:r>
    </w:p>
    <w:bookmarkStart w:name="z21" w:id="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2</w:t>
      </w:r>
      <w:r>
        <w:rPr>
          <w:rFonts w:ascii="Times New Roman"/>
          <w:b w:val="false"/>
          <w:i w:val="false"/>
          <w:color w:val="000000"/>
          <w:sz w:val="28"/>
        </w:rPr>
        <w:t xml:space="preserve"> главы 5 изложить в следующей редакции:</w:t>
      </w:r>
    </w:p>
    <w:bookmarkEnd w:id="13"/>
    <w:bookmarkStart w:name="z22" w:id="14"/>
    <w:p>
      <w:pPr>
        <w:spacing w:after="0"/>
        <w:ind w:left="0"/>
        <w:jc w:val="both"/>
      </w:pPr>
      <w:r>
        <w:rPr>
          <w:rFonts w:ascii="Times New Roman"/>
          <w:b w:val="false"/>
          <w:i w:val="false"/>
          <w:color w:val="000000"/>
          <w:sz w:val="28"/>
        </w:rPr>
        <w:t>
      "Параграф 2. Параметры портфеля государственных облигаций развитых стран";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"48. Эталонным портфелем для портфеля государственных облигаций развитых стран является композитный индекс облигаций развитых стран, состоящий из следующих индексов высоколиквидных ценных бумаг:</w:t>
      </w:r>
    </w:p>
    <w:bookmarkEnd w:id="15"/>
    <w:bookmarkStart w:name="z25" w:id="16"/>
    <w:p>
      <w:pPr>
        <w:spacing w:after="0"/>
        <w:ind w:left="0"/>
        <w:jc w:val="both"/>
      </w:pPr>
      <w:r>
        <w:rPr>
          <w:rFonts w:ascii="Times New Roman"/>
          <w:b w:val="false"/>
          <w:i w:val="false"/>
          <w:color w:val="000000"/>
          <w:sz w:val="28"/>
        </w:rPr>
        <w:t>
      ICE BofAML 1-5 Year US Treasury Index (GVQ0) – 55 (пятьдесят пять) процентов;</w:t>
      </w:r>
    </w:p>
    <w:bookmarkEnd w:id="16"/>
    <w:bookmarkStart w:name="z26" w:id="17"/>
    <w:p>
      <w:pPr>
        <w:spacing w:after="0"/>
        <w:ind w:left="0"/>
        <w:jc w:val="both"/>
      </w:pPr>
      <w:r>
        <w:rPr>
          <w:rFonts w:ascii="Times New Roman"/>
          <w:b w:val="false"/>
          <w:i w:val="false"/>
          <w:color w:val="000000"/>
          <w:sz w:val="28"/>
        </w:rPr>
        <w:t>
      ICE BofAML 1-5 Year German, France, Netherlands, Austria, Luxemburg &amp; Finland Government Index (EVDF) – 15 (пятнадцать) процентов;</w:t>
      </w:r>
    </w:p>
    <w:bookmarkEnd w:id="17"/>
    <w:bookmarkStart w:name="z27" w:id="18"/>
    <w:p>
      <w:pPr>
        <w:spacing w:after="0"/>
        <w:ind w:left="0"/>
        <w:jc w:val="both"/>
      </w:pPr>
      <w:r>
        <w:rPr>
          <w:rFonts w:ascii="Times New Roman"/>
          <w:b w:val="false"/>
          <w:i w:val="false"/>
          <w:color w:val="000000"/>
          <w:sz w:val="28"/>
        </w:rPr>
        <w:t>
      ICE BofAML 1-5 Year UK Gilt Index (GVL0) – 10 (десять) процентов;</w:t>
      </w:r>
    </w:p>
    <w:bookmarkEnd w:id="18"/>
    <w:bookmarkStart w:name="z28" w:id="19"/>
    <w:p>
      <w:pPr>
        <w:spacing w:after="0"/>
        <w:ind w:left="0"/>
        <w:jc w:val="both"/>
      </w:pPr>
      <w:r>
        <w:rPr>
          <w:rFonts w:ascii="Times New Roman"/>
          <w:b w:val="false"/>
          <w:i w:val="false"/>
          <w:color w:val="000000"/>
          <w:sz w:val="28"/>
        </w:rPr>
        <w:t>
      ICE BofAML 1-5 Year Japan Government Index (GVY0) – 5 (пять) процентов;</w:t>
      </w:r>
    </w:p>
    <w:bookmarkEnd w:id="19"/>
    <w:bookmarkStart w:name="z29" w:id="20"/>
    <w:p>
      <w:pPr>
        <w:spacing w:after="0"/>
        <w:ind w:left="0"/>
        <w:jc w:val="both"/>
      </w:pPr>
      <w:r>
        <w:rPr>
          <w:rFonts w:ascii="Times New Roman"/>
          <w:b w:val="false"/>
          <w:i w:val="false"/>
          <w:color w:val="000000"/>
          <w:sz w:val="28"/>
        </w:rPr>
        <w:t>
      ICE BofAML 1-5 Year Australia Government Index (GVT0) – 5 (пять) процентов;</w:t>
      </w:r>
    </w:p>
    <w:bookmarkEnd w:id="20"/>
    <w:bookmarkStart w:name="z30" w:id="21"/>
    <w:p>
      <w:pPr>
        <w:spacing w:after="0"/>
        <w:ind w:left="0"/>
        <w:jc w:val="both"/>
      </w:pPr>
      <w:r>
        <w:rPr>
          <w:rFonts w:ascii="Times New Roman"/>
          <w:b w:val="false"/>
          <w:i w:val="false"/>
          <w:color w:val="000000"/>
          <w:sz w:val="28"/>
        </w:rPr>
        <w:t>
      ICE BofAML 1-5 Year Canada Government Index (GVC0) – 5 (пять) процентов;</w:t>
      </w:r>
    </w:p>
    <w:bookmarkEnd w:id="21"/>
    <w:bookmarkStart w:name="z31" w:id="22"/>
    <w:p>
      <w:pPr>
        <w:spacing w:after="0"/>
        <w:ind w:left="0"/>
        <w:jc w:val="both"/>
      </w:pPr>
      <w:r>
        <w:rPr>
          <w:rFonts w:ascii="Times New Roman"/>
          <w:b w:val="false"/>
          <w:i w:val="false"/>
          <w:color w:val="000000"/>
          <w:sz w:val="28"/>
        </w:rPr>
        <w:t>
      ICE BofAML 1-5 Year South Korean Government Index (GSKV) – 5 (пять) процентов.</w:t>
      </w:r>
    </w:p>
    <w:bookmarkEnd w:id="22"/>
    <w:bookmarkStart w:name="z32" w:id="23"/>
    <w:p>
      <w:pPr>
        <w:spacing w:after="0"/>
        <w:ind w:left="0"/>
        <w:jc w:val="both"/>
      </w:pPr>
      <w:r>
        <w:rPr>
          <w:rFonts w:ascii="Times New Roman"/>
          <w:b w:val="false"/>
          <w:i w:val="false"/>
          <w:color w:val="000000"/>
          <w:sz w:val="28"/>
        </w:rPr>
        <w:t>
      Возврат к эталонному распределению в композитном индексе облигаций развитых стран осуществляется в последний рабочий день календарного квартала.</w:t>
      </w:r>
    </w:p>
    <w:bookmarkEnd w:id="23"/>
    <w:bookmarkStart w:name="z33" w:id="24"/>
    <w:p>
      <w:pPr>
        <w:spacing w:after="0"/>
        <w:ind w:left="0"/>
        <w:jc w:val="both"/>
      </w:pPr>
      <w:r>
        <w:rPr>
          <w:rFonts w:ascii="Times New Roman"/>
          <w:b w:val="false"/>
          <w:i w:val="false"/>
          <w:color w:val="000000"/>
          <w:sz w:val="28"/>
        </w:rPr>
        <w:t>
      Состав ценных бумаг в композитном индексе облигаций развитых стран меняется ежемесячно.</w:t>
      </w:r>
    </w:p>
    <w:bookmarkEnd w:id="24"/>
    <w:bookmarkStart w:name="z34" w:id="25"/>
    <w:p>
      <w:pPr>
        <w:spacing w:after="0"/>
        <w:ind w:left="0"/>
        <w:jc w:val="both"/>
      </w:pPr>
      <w:r>
        <w:rPr>
          <w:rFonts w:ascii="Times New Roman"/>
          <w:b w:val="false"/>
          <w:i w:val="false"/>
          <w:color w:val="000000"/>
          <w:sz w:val="28"/>
        </w:rPr>
        <w:t>
      Показатели доходности и риска рассчитываются ежедневно.";</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36" w:id="26"/>
    <w:p>
      <w:pPr>
        <w:spacing w:after="0"/>
        <w:ind w:left="0"/>
        <w:jc w:val="both"/>
      </w:pPr>
      <w:r>
        <w:rPr>
          <w:rFonts w:ascii="Times New Roman"/>
          <w:b w:val="false"/>
          <w:i w:val="false"/>
          <w:color w:val="000000"/>
          <w:sz w:val="28"/>
        </w:rPr>
        <w:t>
      "50. Секторное распределение портфеля государственных облигаций развитых стран определяется согласно приложению 4 к настоящим Правилам.";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w:t>
      </w:r>
      <w:r>
        <w:rPr>
          <w:rFonts w:ascii="Times New Roman"/>
          <w:b w:val="false"/>
          <w:i w:val="false"/>
          <w:color w:val="000000"/>
          <w:sz w:val="28"/>
        </w:rPr>
        <w:t xml:space="preserve"> и </w:t>
      </w:r>
      <w:r>
        <w:rPr>
          <w:rFonts w:ascii="Times New Roman"/>
          <w:b w:val="false"/>
          <w:i w:val="false"/>
          <w:color w:val="000000"/>
          <w:sz w:val="28"/>
        </w:rPr>
        <w:t>51-1</w:t>
      </w:r>
      <w:r>
        <w:rPr>
          <w:rFonts w:ascii="Times New Roman"/>
          <w:b w:val="false"/>
          <w:i w:val="false"/>
          <w:color w:val="000000"/>
          <w:sz w:val="28"/>
        </w:rPr>
        <w:t xml:space="preserve"> изложить в следующей редакции:</w:t>
      </w:r>
    </w:p>
    <w:bookmarkStart w:name="z39" w:id="27"/>
    <w:p>
      <w:pPr>
        <w:spacing w:after="0"/>
        <w:ind w:left="0"/>
        <w:jc w:val="both"/>
      </w:pPr>
      <w:r>
        <w:rPr>
          <w:rFonts w:ascii="Times New Roman"/>
          <w:b w:val="false"/>
          <w:i w:val="false"/>
          <w:color w:val="000000"/>
          <w:sz w:val="28"/>
        </w:rPr>
        <w:t>
      "51. Минимальный долгосрочный кредитный рейтинг ценной бумаги – BBB (Standard&amp;Poor’s)/Baa2 (Moody’s).</w:t>
      </w:r>
    </w:p>
    <w:bookmarkEnd w:id="27"/>
    <w:bookmarkStart w:name="z40" w:id="28"/>
    <w:p>
      <w:pPr>
        <w:spacing w:after="0"/>
        <w:ind w:left="0"/>
        <w:jc w:val="both"/>
      </w:pPr>
      <w:r>
        <w:rPr>
          <w:rFonts w:ascii="Times New Roman"/>
          <w:b w:val="false"/>
          <w:i w:val="false"/>
          <w:color w:val="000000"/>
          <w:sz w:val="28"/>
        </w:rPr>
        <w:t xml:space="preserve">
      Лимиты по долгосрочному кредитному рейтингу (Standard&amp;Poor's/Moody's) на корпоративные ценные бумаги в портфеле отдельного управляющего портфеля государственных облигаций развитых стран устанавливаются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8"/>
    <w:bookmarkStart w:name="z41" w:id="29"/>
    <w:p>
      <w:pPr>
        <w:spacing w:after="0"/>
        <w:ind w:left="0"/>
        <w:jc w:val="both"/>
      </w:pPr>
      <w:r>
        <w:rPr>
          <w:rFonts w:ascii="Times New Roman"/>
          <w:b w:val="false"/>
          <w:i w:val="false"/>
          <w:color w:val="000000"/>
          <w:sz w:val="28"/>
        </w:rPr>
        <w:t>
      Минимальный краткосрочный кредитный рейтинг коммерческих ценных бумаг и депозитных сертификатов – А-3 (Standard&amp;Poor’s)/P-3 (Moody’s).</w:t>
      </w:r>
    </w:p>
    <w:bookmarkEnd w:id="29"/>
    <w:bookmarkStart w:name="z42" w:id="30"/>
    <w:p>
      <w:pPr>
        <w:spacing w:after="0"/>
        <w:ind w:left="0"/>
        <w:jc w:val="both"/>
      </w:pPr>
      <w:r>
        <w:rPr>
          <w:rFonts w:ascii="Times New Roman"/>
          <w:b w:val="false"/>
          <w:i w:val="false"/>
          <w:color w:val="000000"/>
          <w:sz w:val="28"/>
        </w:rPr>
        <w:t>
      Максимальные отклонения в портфеле государственных облигаций развитых стран, не входящих в эталонный портфель, агентских долговых обязательств, муниципальных долговых обязательств стран, входящих в эталонный портфель, долговых обязательств международных финансовых организаций с долгосрочным кредитным рейтингом АА- (Standard&amp;Poor's)/Aa3 (Moody's) и ниже определяются согласно приложению 6 к настоящим Правилам.</w:t>
      </w:r>
    </w:p>
    <w:bookmarkEnd w:id="30"/>
    <w:bookmarkStart w:name="z43" w:id="31"/>
    <w:p>
      <w:pPr>
        <w:spacing w:after="0"/>
        <w:ind w:left="0"/>
        <w:jc w:val="both"/>
      </w:pPr>
      <w:r>
        <w:rPr>
          <w:rFonts w:ascii="Times New Roman"/>
          <w:b w:val="false"/>
          <w:i w:val="false"/>
          <w:color w:val="000000"/>
          <w:sz w:val="28"/>
        </w:rPr>
        <w:t>
      Муниципальные долговые обязательства обеспечиваются государственной гарантией.</w:t>
      </w:r>
    </w:p>
    <w:bookmarkEnd w:id="31"/>
    <w:bookmarkStart w:name="z44" w:id="32"/>
    <w:p>
      <w:pPr>
        <w:spacing w:after="0"/>
        <w:ind w:left="0"/>
        <w:jc w:val="both"/>
      </w:pPr>
      <w:r>
        <w:rPr>
          <w:rFonts w:ascii="Times New Roman"/>
          <w:b w:val="false"/>
          <w:i w:val="false"/>
          <w:color w:val="000000"/>
          <w:sz w:val="28"/>
        </w:rPr>
        <w:t>
      Ценные бумаги под залог недвижимости (MBS) и ценные бумаги под залог активов (ABS) имеют кредитные рейтинги от ААА до ВВВ (Standard&amp;Poor’s) или от Ааа до Ваа2 (Moody’s).</w:t>
      </w:r>
    </w:p>
    <w:bookmarkEnd w:id="32"/>
    <w:bookmarkStart w:name="z45" w:id="33"/>
    <w:p>
      <w:pPr>
        <w:spacing w:after="0"/>
        <w:ind w:left="0"/>
        <w:jc w:val="both"/>
      </w:pPr>
      <w:r>
        <w:rPr>
          <w:rFonts w:ascii="Times New Roman"/>
          <w:b w:val="false"/>
          <w:i w:val="false"/>
          <w:color w:val="000000"/>
          <w:sz w:val="28"/>
        </w:rPr>
        <w:t>
      51-1. Ожидаемая изменчивость отклонения доходности портфеля государственных облигаций развитых стран от доходности эталонного портфеля (ex-ante tracking error) – 2 (два) процента.";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w:t>
      </w:r>
      <w:r>
        <w:rPr>
          <w:rFonts w:ascii="Times New Roman"/>
          <w:b w:val="false"/>
          <w:i w:val="false"/>
          <w:color w:val="000000"/>
          <w:sz w:val="28"/>
        </w:rPr>
        <w:t xml:space="preserve"> дополнить параграфами 2-1 и 2-2 следующего содержания:</w:t>
      </w:r>
    </w:p>
    <w:bookmarkStart w:name="z47" w:id="34"/>
    <w:p>
      <w:pPr>
        <w:spacing w:after="0"/>
        <w:ind w:left="0"/>
        <w:jc w:val="both"/>
      </w:pPr>
      <w:r>
        <w:rPr>
          <w:rFonts w:ascii="Times New Roman"/>
          <w:b w:val="false"/>
          <w:i w:val="false"/>
          <w:color w:val="000000"/>
          <w:sz w:val="28"/>
        </w:rPr>
        <w:t>
      "Параграф 2-1. Параметры портфеля государственных облигаций развивающихся стран</w:t>
      </w:r>
    </w:p>
    <w:bookmarkEnd w:id="34"/>
    <w:bookmarkStart w:name="z48" w:id="35"/>
    <w:p>
      <w:pPr>
        <w:spacing w:after="0"/>
        <w:ind w:left="0"/>
        <w:jc w:val="both"/>
      </w:pPr>
      <w:r>
        <w:rPr>
          <w:rFonts w:ascii="Times New Roman"/>
          <w:b w:val="false"/>
          <w:i w:val="false"/>
          <w:color w:val="000000"/>
          <w:sz w:val="28"/>
        </w:rPr>
        <w:t>
      51-2. Эталонным портфелем для портфеля государственных облигаций развивающихся стран является индекс ICE BofAML Q34A Custom Index, исключающий облигации стран с долей нефти в экспорте в размере более чем 80 (восемьдесят) процентов.</w:t>
      </w:r>
    </w:p>
    <w:bookmarkEnd w:id="35"/>
    <w:bookmarkStart w:name="z49" w:id="36"/>
    <w:p>
      <w:pPr>
        <w:spacing w:after="0"/>
        <w:ind w:left="0"/>
        <w:jc w:val="both"/>
      </w:pPr>
      <w:r>
        <w:rPr>
          <w:rFonts w:ascii="Times New Roman"/>
          <w:b w:val="false"/>
          <w:i w:val="false"/>
          <w:color w:val="000000"/>
          <w:sz w:val="28"/>
        </w:rPr>
        <w:t>
      51-3. Исключение из состава индекса облигаций стран с долей нефти в экспорте в размере более чем 80 (восемьдесят) процентов осуществляется Национальным Банком не реже, чем один раз в год.</w:t>
      </w:r>
    </w:p>
    <w:bookmarkEnd w:id="36"/>
    <w:bookmarkStart w:name="z50" w:id="37"/>
    <w:p>
      <w:pPr>
        <w:spacing w:after="0"/>
        <w:ind w:left="0"/>
        <w:jc w:val="both"/>
      </w:pPr>
      <w:r>
        <w:rPr>
          <w:rFonts w:ascii="Times New Roman"/>
          <w:b w:val="false"/>
          <w:i w:val="false"/>
          <w:color w:val="000000"/>
          <w:sz w:val="28"/>
        </w:rPr>
        <w:t>
      51-4. Минимальный кредитный рейтинг активов портфеля государственных облигаций развивающихся стран соответствует уровню ВВ (Standard&amp;Poor's)/Ва2 (Moody’s) или аналогичному кредитному рейтингу других международных рейтинговых агентств.</w:t>
      </w:r>
    </w:p>
    <w:bookmarkEnd w:id="37"/>
    <w:bookmarkStart w:name="z51" w:id="38"/>
    <w:p>
      <w:pPr>
        <w:spacing w:after="0"/>
        <w:ind w:left="0"/>
        <w:jc w:val="both"/>
      </w:pPr>
      <w:r>
        <w:rPr>
          <w:rFonts w:ascii="Times New Roman"/>
          <w:b w:val="false"/>
          <w:i w:val="false"/>
          <w:color w:val="000000"/>
          <w:sz w:val="28"/>
        </w:rPr>
        <w:t>
      При наличии двух и более кредитных рейтингов для активов портфеля государственных облигаций развивающихся стран минимальный кредитный рейтинг определяется как наименьший из них.</w:t>
      </w:r>
    </w:p>
    <w:bookmarkEnd w:id="38"/>
    <w:bookmarkStart w:name="z52" w:id="39"/>
    <w:p>
      <w:pPr>
        <w:spacing w:after="0"/>
        <w:ind w:left="0"/>
        <w:jc w:val="both"/>
      </w:pPr>
      <w:r>
        <w:rPr>
          <w:rFonts w:ascii="Times New Roman"/>
          <w:b w:val="false"/>
          <w:i w:val="false"/>
          <w:color w:val="000000"/>
          <w:sz w:val="28"/>
        </w:rPr>
        <w:t>
      Если значение кредитного рейтинга по активу снижается ниже минимального кредитного рейтинга, Национальный Банк осуществляет мероприятия по ликвидации позиции по данному активу, с учетом текущей конъюнктуры рынка, но не более 2 месяцев со дня снижения значения минимального кредитного рейтинга по активу.</w:t>
      </w:r>
    </w:p>
    <w:bookmarkEnd w:id="39"/>
    <w:bookmarkStart w:name="z53" w:id="40"/>
    <w:p>
      <w:pPr>
        <w:spacing w:after="0"/>
        <w:ind w:left="0"/>
        <w:jc w:val="both"/>
      </w:pPr>
      <w:r>
        <w:rPr>
          <w:rFonts w:ascii="Times New Roman"/>
          <w:b w:val="false"/>
          <w:i w:val="false"/>
          <w:color w:val="000000"/>
          <w:sz w:val="28"/>
        </w:rPr>
        <w:t>
      51-5. Доля ценных бумаг одной страны-эмитента, входящей в эталонный портфель, не превышает 20 (двадцать) процентов от объема портфеля государственных облигаций развивающихся стран.</w:t>
      </w:r>
    </w:p>
    <w:bookmarkEnd w:id="40"/>
    <w:bookmarkStart w:name="z54" w:id="41"/>
    <w:p>
      <w:pPr>
        <w:spacing w:after="0"/>
        <w:ind w:left="0"/>
        <w:jc w:val="both"/>
      </w:pPr>
      <w:r>
        <w:rPr>
          <w:rFonts w:ascii="Times New Roman"/>
          <w:b w:val="false"/>
          <w:i w:val="false"/>
          <w:color w:val="000000"/>
          <w:sz w:val="28"/>
        </w:rPr>
        <w:t>
      51-6. Доля ценных бумаг одной страны-эмитента, не входящей в эталонный портфель, не превышает 5 (пяти) процентов от объема портфеля государственных облигаций развивающихся стран.</w:t>
      </w:r>
    </w:p>
    <w:bookmarkEnd w:id="41"/>
    <w:bookmarkStart w:name="z55" w:id="42"/>
    <w:p>
      <w:pPr>
        <w:spacing w:after="0"/>
        <w:ind w:left="0"/>
        <w:jc w:val="both"/>
      </w:pPr>
      <w:r>
        <w:rPr>
          <w:rFonts w:ascii="Times New Roman"/>
          <w:b w:val="false"/>
          <w:i w:val="false"/>
          <w:color w:val="000000"/>
          <w:sz w:val="28"/>
        </w:rPr>
        <w:t>
      51-7. Дюрация портфеля государственных облигаций развивающихся стран не превышает пределов +30/-40 процентов от дюрации эталонного портфеля.</w:t>
      </w:r>
    </w:p>
    <w:bookmarkEnd w:id="42"/>
    <w:bookmarkStart w:name="z56" w:id="43"/>
    <w:p>
      <w:pPr>
        <w:spacing w:after="0"/>
        <w:ind w:left="0"/>
        <w:jc w:val="both"/>
      </w:pPr>
      <w:r>
        <w:rPr>
          <w:rFonts w:ascii="Times New Roman"/>
          <w:b w:val="false"/>
          <w:i w:val="false"/>
          <w:color w:val="000000"/>
          <w:sz w:val="28"/>
        </w:rPr>
        <w:t>
      51-8. Секторное распределение портфеля государственных облигаций развивающихся стран определяется согласно приложению 6-1 к настоящим Правилам.</w:t>
      </w:r>
    </w:p>
    <w:bookmarkEnd w:id="43"/>
    <w:bookmarkStart w:name="z57" w:id="44"/>
    <w:p>
      <w:pPr>
        <w:spacing w:after="0"/>
        <w:ind w:left="0"/>
        <w:jc w:val="both"/>
      </w:pPr>
      <w:r>
        <w:rPr>
          <w:rFonts w:ascii="Times New Roman"/>
          <w:b w:val="false"/>
          <w:i w:val="false"/>
          <w:color w:val="000000"/>
          <w:sz w:val="28"/>
        </w:rPr>
        <w:t>
      51-9. Ожидаемая изменчивость отклонения доходности портфеля государственных облигаций развивающихся стран (ex-ante tracking error) с учетом входящих в него производных финансовых инструментов не превышает 4 (четырех) процентов годовых на последний рабочий день каждого месяца.</w:t>
      </w:r>
    </w:p>
    <w:bookmarkEnd w:id="44"/>
    <w:bookmarkStart w:name="z58" w:id="45"/>
    <w:p>
      <w:pPr>
        <w:spacing w:after="0"/>
        <w:ind w:left="0"/>
        <w:jc w:val="both"/>
      </w:pPr>
      <w:r>
        <w:rPr>
          <w:rFonts w:ascii="Times New Roman"/>
          <w:b w:val="false"/>
          <w:i w:val="false"/>
          <w:color w:val="000000"/>
          <w:sz w:val="28"/>
        </w:rPr>
        <w:t>
      В случае превышения ограничения, предусмотренного частью первой настоящего пункта, Национальный Банк устраняет его в течение 30 (тридцати) рабочих дней со дня превышения.</w:t>
      </w:r>
    </w:p>
    <w:bookmarkEnd w:id="45"/>
    <w:bookmarkStart w:name="z59" w:id="46"/>
    <w:p>
      <w:pPr>
        <w:spacing w:after="0"/>
        <w:ind w:left="0"/>
        <w:jc w:val="both"/>
      </w:pPr>
      <w:r>
        <w:rPr>
          <w:rFonts w:ascii="Times New Roman"/>
          <w:b w:val="false"/>
          <w:i w:val="false"/>
          <w:color w:val="000000"/>
          <w:sz w:val="28"/>
        </w:rPr>
        <w:t>
      Параграф 2-2. Параметры портфеля корпоративных облигаций</w:t>
      </w:r>
    </w:p>
    <w:bookmarkEnd w:id="46"/>
    <w:bookmarkStart w:name="z60" w:id="47"/>
    <w:p>
      <w:pPr>
        <w:spacing w:after="0"/>
        <w:ind w:left="0"/>
        <w:jc w:val="both"/>
      </w:pPr>
      <w:r>
        <w:rPr>
          <w:rFonts w:ascii="Times New Roman"/>
          <w:b w:val="false"/>
          <w:i w:val="false"/>
          <w:color w:val="000000"/>
          <w:sz w:val="28"/>
        </w:rPr>
        <w:t>
      51-10. Эталонным портфелем для портфеля корпоративных облигаций является индекс ICE BofAML Q35A Custom Index.</w:t>
      </w:r>
    </w:p>
    <w:bookmarkEnd w:id="47"/>
    <w:bookmarkStart w:name="z61" w:id="48"/>
    <w:p>
      <w:pPr>
        <w:spacing w:after="0"/>
        <w:ind w:left="0"/>
        <w:jc w:val="both"/>
      </w:pPr>
      <w:r>
        <w:rPr>
          <w:rFonts w:ascii="Times New Roman"/>
          <w:b w:val="false"/>
          <w:i w:val="false"/>
          <w:color w:val="000000"/>
          <w:sz w:val="28"/>
        </w:rPr>
        <w:t>
      51-11. Минимальный кредитный рейтинг активов портфеля корпоративных облигаций соответствует уровню ВВВ- (Standard&amp;Poor's)/Ваа3 (Moody’s) или аналогичному кредитному рейтингу других международных рейтинговых агентств.</w:t>
      </w:r>
    </w:p>
    <w:bookmarkEnd w:id="48"/>
    <w:bookmarkStart w:name="z62" w:id="49"/>
    <w:p>
      <w:pPr>
        <w:spacing w:after="0"/>
        <w:ind w:left="0"/>
        <w:jc w:val="both"/>
      </w:pPr>
      <w:r>
        <w:rPr>
          <w:rFonts w:ascii="Times New Roman"/>
          <w:b w:val="false"/>
          <w:i w:val="false"/>
          <w:color w:val="000000"/>
          <w:sz w:val="28"/>
        </w:rPr>
        <w:t>
      При наличии двух и более кредитных рейтингов для активов портфеля корпоративных облигаций минимальный кредитный рейтинг определяется как наименьший из них.</w:t>
      </w:r>
    </w:p>
    <w:bookmarkEnd w:id="49"/>
    <w:bookmarkStart w:name="z63" w:id="50"/>
    <w:p>
      <w:pPr>
        <w:spacing w:after="0"/>
        <w:ind w:left="0"/>
        <w:jc w:val="both"/>
      </w:pPr>
      <w:r>
        <w:rPr>
          <w:rFonts w:ascii="Times New Roman"/>
          <w:b w:val="false"/>
          <w:i w:val="false"/>
          <w:color w:val="000000"/>
          <w:sz w:val="28"/>
        </w:rPr>
        <w:t>
      Если значение кредитного рейтинга по активу снижается ниже минимального кредитного рейтинга, Национальный Банк осуществляет мероприятия по ликвидации позиции по данному активу, с учетом текущей конъюнктуры рынка, но не более 1 месяца со дня снижения значения минимального кредитного рейтинга по активу.</w:t>
      </w:r>
    </w:p>
    <w:bookmarkEnd w:id="50"/>
    <w:bookmarkStart w:name="z64" w:id="51"/>
    <w:p>
      <w:pPr>
        <w:spacing w:after="0"/>
        <w:ind w:left="0"/>
        <w:jc w:val="both"/>
      </w:pPr>
      <w:r>
        <w:rPr>
          <w:rFonts w:ascii="Times New Roman"/>
          <w:b w:val="false"/>
          <w:i w:val="false"/>
          <w:color w:val="000000"/>
          <w:sz w:val="28"/>
        </w:rPr>
        <w:t>
      51-12. Дюрация портфеля корпоративных облигаций не превышает пределов +30/-40 процентов от дюрации эталонного портфеля.</w:t>
      </w:r>
    </w:p>
    <w:bookmarkEnd w:id="51"/>
    <w:bookmarkStart w:name="z65" w:id="52"/>
    <w:p>
      <w:pPr>
        <w:spacing w:after="0"/>
        <w:ind w:left="0"/>
        <w:jc w:val="both"/>
      </w:pPr>
      <w:r>
        <w:rPr>
          <w:rFonts w:ascii="Times New Roman"/>
          <w:b w:val="false"/>
          <w:i w:val="false"/>
          <w:color w:val="000000"/>
          <w:sz w:val="28"/>
        </w:rPr>
        <w:t>
      51-13. Секторное распределение портфеля корпоративных облигаций определяется согласно приложению 6-2 к настоящим Правилам.</w:t>
      </w:r>
    </w:p>
    <w:bookmarkEnd w:id="52"/>
    <w:bookmarkStart w:name="z66" w:id="53"/>
    <w:p>
      <w:pPr>
        <w:spacing w:after="0"/>
        <w:ind w:left="0"/>
        <w:jc w:val="both"/>
      </w:pPr>
      <w:r>
        <w:rPr>
          <w:rFonts w:ascii="Times New Roman"/>
          <w:b w:val="false"/>
          <w:i w:val="false"/>
          <w:color w:val="000000"/>
          <w:sz w:val="28"/>
        </w:rPr>
        <w:t>
      51-14. Ожидаемая изменчивость отклонения доходности портфеля корпоративных облигаций (ex-ante tracking error) с учетом входящих в него производных финансовых инструментов не превышает 4 (четырех) процентов годовых на последний рабочий день каждого месяца.</w:t>
      </w:r>
    </w:p>
    <w:bookmarkEnd w:id="53"/>
    <w:bookmarkStart w:name="z67" w:id="54"/>
    <w:p>
      <w:pPr>
        <w:spacing w:after="0"/>
        <w:ind w:left="0"/>
        <w:jc w:val="both"/>
      </w:pPr>
      <w:r>
        <w:rPr>
          <w:rFonts w:ascii="Times New Roman"/>
          <w:b w:val="false"/>
          <w:i w:val="false"/>
          <w:color w:val="000000"/>
          <w:sz w:val="28"/>
        </w:rPr>
        <w:t>
      В случае превышения ограничения, предусмотренного частью первой настоящего пункта, Национальный Банк устраняет его в течение 30 (тридцати) рабочих дней со дня превышения.";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69" w:id="55"/>
    <w:p>
      <w:pPr>
        <w:spacing w:after="0"/>
        <w:ind w:left="0"/>
        <w:jc w:val="both"/>
      </w:pPr>
      <w:r>
        <w:rPr>
          <w:rFonts w:ascii="Times New Roman"/>
          <w:b w:val="false"/>
          <w:i w:val="false"/>
          <w:color w:val="000000"/>
          <w:sz w:val="28"/>
        </w:rPr>
        <w:t>
      "52. Эталонным портфелем для портфеля акций является индекс MSCI World ex Sweden Index – специализированный индекс, состоящий из акций компаний развитых стран мира, составляемый компанией Morgan Stanley Capital International.</w:t>
      </w:r>
    </w:p>
    <w:bookmarkEnd w:id="55"/>
    <w:bookmarkStart w:name="z70" w:id="56"/>
    <w:p>
      <w:pPr>
        <w:spacing w:after="0"/>
        <w:ind w:left="0"/>
        <w:jc w:val="both"/>
      </w:pPr>
      <w:r>
        <w:rPr>
          <w:rFonts w:ascii="Times New Roman"/>
          <w:b w:val="false"/>
          <w:i w:val="false"/>
          <w:color w:val="000000"/>
          <w:sz w:val="28"/>
        </w:rPr>
        <w:t>
      Показателем доходности, рассчитываемой ежедневно, является доходность индекса с учетом реинвестирования дивидендов без учета налогов.";</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xml:space="preserve"> главы 5 изложить в следующей редакции:</w:t>
      </w:r>
    </w:p>
    <w:bookmarkStart w:name="z72" w:id="57"/>
    <w:p>
      <w:pPr>
        <w:spacing w:after="0"/>
        <w:ind w:left="0"/>
        <w:jc w:val="both"/>
      </w:pPr>
      <w:r>
        <w:rPr>
          <w:rFonts w:ascii="Times New Roman"/>
          <w:b w:val="false"/>
          <w:i w:val="false"/>
          <w:color w:val="000000"/>
          <w:sz w:val="28"/>
        </w:rPr>
        <w:t>
      "Параграф 4. Портфель альтернативных инструментов</w:t>
      </w:r>
    </w:p>
    <w:bookmarkEnd w:id="57"/>
    <w:bookmarkStart w:name="z73" w:id="58"/>
    <w:p>
      <w:pPr>
        <w:spacing w:after="0"/>
        <w:ind w:left="0"/>
        <w:jc w:val="both"/>
      </w:pPr>
      <w:r>
        <w:rPr>
          <w:rFonts w:ascii="Times New Roman"/>
          <w:b w:val="false"/>
          <w:i w:val="false"/>
          <w:color w:val="000000"/>
          <w:sz w:val="28"/>
        </w:rPr>
        <w:t>
      56-1. Целевым уровнем доходности портфеля альтернативных инструментов является доходность композитного индекса, состоящего на 80 (восемьдесят) процентов из индекса MSCI АCWI Investable Market Index и на 20 (двадцать) процентов из индекса Barclays Global Aggregate Bond Index, измеряемых в долларах США.</w:t>
      </w:r>
    </w:p>
    <w:bookmarkEnd w:id="58"/>
    <w:bookmarkStart w:name="z74" w:id="59"/>
    <w:p>
      <w:pPr>
        <w:spacing w:after="0"/>
        <w:ind w:left="0"/>
        <w:jc w:val="both"/>
      </w:pPr>
      <w:r>
        <w:rPr>
          <w:rFonts w:ascii="Times New Roman"/>
          <w:b w:val="false"/>
          <w:i w:val="false"/>
          <w:color w:val="000000"/>
          <w:sz w:val="28"/>
        </w:rPr>
        <w:t>
      Возврат к эталонному распределению в композитном индексе, предусмотренном частью первой настоящего пункта, осуществляется в последний рабочий день календарного квартала. При этом минимальный уровень доходности составляет значение индекса инфляции в США (US CPI) +3 (три) процента, в годовом исчислении.</w:t>
      </w:r>
    </w:p>
    <w:bookmarkEnd w:id="59"/>
    <w:bookmarkStart w:name="z75" w:id="60"/>
    <w:p>
      <w:pPr>
        <w:spacing w:after="0"/>
        <w:ind w:left="0"/>
        <w:jc w:val="both"/>
      </w:pPr>
      <w:r>
        <w:rPr>
          <w:rFonts w:ascii="Times New Roman"/>
          <w:b w:val="false"/>
          <w:i w:val="false"/>
          <w:color w:val="000000"/>
          <w:sz w:val="28"/>
        </w:rPr>
        <w:t>
      56-2. Целью портфеля альтернативных инструментов является обеспечение доходности активов в долгосрочной перспективе и диверсификация активов Фонда. В соответствии с целью портфеля альтернативных инструментов оценка его эффективности осуществляется за период свыше 15 (пятнадцати) лет.</w:t>
      </w:r>
    </w:p>
    <w:bookmarkEnd w:id="60"/>
    <w:bookmarkStart w:name="z76" w:id="61"/>
    <w:p>
      <w:pPr>
        <w:spacing w:after="0"/>
        <w:ind w:left="0"/>
        <w:jc w:val="both"/>
      </w:pPr>
      <w:r>
        <w:rPr>
          <w:rFonts w:ascii="Times New Roman"/>
          <w:b w:val="false"/>
          <w:i w:val="false"/>
          <w:color w:val="000000"/>
          <w:sz w:val="28"/>
        </w:rPr>
        <w:t>
      56-3. Управление портфелем альтернативных инструментов осуществляет акционерное общество "Национальная инвестиционная корпорация Национального Банка Казахстана" (далее – Корпорация).</w:t>
      </w:r>
    </w:p>
    <w:bookmarkEnd w:id="61"/>
    <w:bookmarkStart w:name="z77" w:id="62"/>
    <w:p>
      <w:pPr>
        <w:spacing w:after="0"/>
        <w:ind w:left="0"/>
        <w:jc w:val="both"/>
      </w:pPr>
      <w:r>
        <w:rPr>
          <w:rFonts w:ascii="Times New Roman"/>
          <w:b w:val="false"/>
          <w:i w:val="false"/>
          <w:color w:val="000000"/>
          <w:sz w:val="28"/>
        </w:rPr>
        <w:t>
      56-4. При осуществлении инвестиций в портфеле альтернативных инструментов Корпорация соблюдает ограничения, установленные настоящими Правилами.</w:t>
      </w:r>
    </w:p>
    <w:bookmarkEnd w:id="62"/>
    <w:bookmarkStart w:name="z78" w:id="63"/>
    <w:p>
      <w:pPr>
        <w:spacing w:after="0"/>
        <w:ind w:left="0"/>
        <w:jc w:val="both"/>
      </w:pPr>
      <w:r>
        <w:rPr>
          <w:rFonts w:ascii="Times New Roman"/>
          <w:b w:val="false"/>
          <w:i w:val="false"/>
          <w:color w:val="000000"/>
          <w:sz w:val="28"/>
        </w:rPr>
        <w:t>
      56-5. Активы портфеля альтернативных инструментов инвестируются в следующие альтернативные инструменты:</w:t>
      </w:r>
    </w:p>
    <w:bookmarkEnd w:id="63"/>
    <w:bookmarkStart w:name="z79" w:id="64"/>
    <w:p>
      <w:pPr>
        <w:spacing w:after="0"/>
        <w:ind w:left="0"/>
        <w:jc w:val="both"/>
      </w:pPr>
      <w:r>
        <w:rPr>
          <w:rFonts w:ascii="Times New Roman"/>
          <w:b w:val="false"/>
          <w:i w:val="false"/>
          <w:color w:val="000000"/>
          <w:sz w:val="28"/>
        </w:rPr>
        <w:t>
      1) хедж-фонды;</w:t>
      </w:r>
    </w:p>
    <w:bookmarkEnd w:id="64"/>
    <w:bookmarkStart w:name="z80" w:id="65"/>
    <w:p>
      <w:pPr>
        <w:spacing w:after="0"/>
        <w:ind w:left="0"/>
        <w:jc w:val="both"/>
      </w:pPr>
      <w:r>
        <w:rPr>
          <w:rFonts w:ascii="Times New Roman"/>
          <w:b w:val="false"/>
          <w:i w:val="false"/>
          <w:color w:val="000000"/>
          <w:sz w:val="28"/>
        </w:rPr>
        <w:t>
      2) частный капитал;</w:t>
      </w:r>
    </w:p>
    <w:bookmarkEnd w:id="65"/>
    <w:bookmarkStart w:name="z81" w:id="66"/>
    <w:p>
      <w:pPr>
        <w:spacing w:after="0"/>
        <w:ind w:left="0"/>
        <w:jc w:val="both"/>
      </w:pPr>
      <w:r>
        <w:rPr>
          <w:rFonts w:ascii="Times New Roman"/>
          <w:b w:val="false"/>
          <w:i w:val="false"/>
          <w:color w:val="000000"/>
          <w:sz w:val="28"/>
        </w:rPr>
        <w:t>
      3) инвестиции в недвижимость;</w:t>
      </w:r>
    </w:p>
    <w:bookmarkEnd w:id="66"/>
    <w:bookmarkStart w:name="z82" w:id="67"/>
    <w:p>
      <w:pPr>
        <w:spacing w:after="0"/>
        <w:ind w:left="0"/>
        <w:jc w:val="both"/>
      </w:pPr>
      <w:r>
        <w:rPr>
          <w:rFonts w:ascii="Times New Roman"/>
          <w:b w:val="false"/>
          <w:i w:val="false"/>
          <w:color w:val="000000"/>
          <w:sz w:val="28"/>
        </w:rPr>
        <w:t>
      4) инфраструктурные инвестиции;</w:t>
      </w:r>
    </w:p>
    <w:bookmarkEnd w:id="67"/>
    <w:bookmarkStart w:name="z83" w:id="68"/>
    <w:p>
      <w:pPr>
        <w:spacing w:after="0"/>
        <w:ind w:left="0"/>
        <w:jc w:val="both"/>
      </w:pPr>
      <w:r>
        <w:rPr>
          <w:rFonts w:ascii="Times New Roman"/>
          <w:b w:val="false"/>
          <w:i w:val="false"/>
          <w:color w:val="000000"/>
          <w:sz w:val="28"/>
        </w:rPr>
        <w:t>
      5) ликвидные альтернативные инструменты.</w:t>
      </w:r>
    </w:p>
    <w:bookmarkEnd w:id="68"/>
    <w:bookmarkStart w:name="z84" w:id="69"/>
    <w:p>
      <w:pPr>
        <w:spacing w:after="0"/>
        <w:ind w:left="0"/>
        <w:jc w:val="both"/>
      </w:pPr>
      <w:r>
        <w:rPr>
          <w:rFonts w:ascii="Times New Roman"/>
          <w:b w:val="false"/>
          <w:i w:val="false"/>
          <w:color w:val="000000"/>
          <w:sz w:val="28"/>
        </w:rPr>
        <w:t xml:space="preserve">
      56-6. Допускается инвестирование активов портфеля альтернативных инструментов в иные финансовые инструменты, предусмотренные Перечнем разрешенных финансовых инструментов, за исключением нематериальных активов, для размещения Национального фонда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января 2009 года № 66 "Об утверждении перечня разрешенных финансовых инструментов, за исключением нематериальных активов, для размещения Национального фонда Республики Казахстан".</w:t>
      </w:r>
    </w:p>
    <w:bookmarkEnd w:id="69"/>
    <w:bookmarkStart w:name="z85" w:id="70"/>
    <w:p>
      <w:pPr>
        <w:spacing w:after="0"/>
        <w:ind w:left="0"/>
        <w:jc w:val="both"/>
      </w:pPr>
      <w:r>
        <w:rPr>
          <w:rFonts w:ascii="Times New Roman"/>
          <w:b w:val="false"/>
          <w:i w:val="false"/>
          <w:color w:val="000000"/>
          <w:sz w:val="28"/>
        </w:rPr>
        <w:t>
      56-7. При передаче активов портфеля альтернативных инструментов в управление для осуществления инвестиций в фонды фондов (fund of funds) и путем прямого инвестирования в фонды допускается инвестирование посредством приобретения акций и долей компаний специального назначения (special purpose vehicle).";</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5-1</w:t>
      </w:r>
      <w:r>
        <w:rPr>
          <w:rFonts w:ascii="Times New Roman"/>
          <w:b w:val="false"/>
          <w:i w:val="false"/>
          <w:color w:val="000000"/>
          <w:sz w:val="28"/>
        </w:rPr>
        <w:t xml:space="preserve"> изложить в следующей редакции:</w:t>
      </w:r>
    </w:p>
    <w:bookmarkStart w:name="z87" w:id="71"/>
    <w:p>
      <w:pPr>
        <w:spacing w:after="0"/>
        <w:ind w:left="0"/>
        <w:jc w:val="both"/>
      </w:pPr>
      <w:r>
        <w:rPr>
          <w:rFonts w:ascii="Times New Roman"/>
          <w:b w:val="false"/>
          <w:i w:val="false"/>
          <w:color w:val="000000"/>
          <w:sz w:val="28"/>
        </w:rPr>
        <w:t>
      "Глава 5-1. Параметры портфеля золота</w:t>
      </w:r>
    </w:p>
    <w:bookmarkEnd w:id="71"/>
    <w:bookmarkStart w:name="z88" w:id="72"/>
    <w:p>
      <w:pPr>
        <w:spacing w:after="0"/>
        <w:ind w:left="0"/>
        <w:jc w:val="both"/>
      </w:pPr>
      <w:r>
        <w:rPr>
          <w:rFonts w:ascii="Times New Roman"/>
          <w:b w:val="false"/>
          <w:i w:val="false"/>
          <w:color w:val="000000"/>
          <w:sz w:val="28"/>
        </w:rPr>
        <w:t>
      56-8. Портфель золота состоит из:</w:t>
      </w:r>
    </w:p>
    <w:bookmarkEnd w:id="72"/>
    <w:bookmarkStart w:name="z89" w:id="73"/>
    <w:p>
      <w:pPr>
        <w:spacing w:after="0"/>
        <w:ind w:left="0"/>
        <w:jc w:val="both"/>
      </w:pPr>
      <w:r>
        <w:rPr>
          <w:rFonts w:ascii="Times New Roman"/>
          <w:b w:val="false"/>
          <w:i w:val="false"/>
          <w:color w:val="000000"/>
          <w:sz w:val="28"/>
        </w:rPr>
        <w:t>
      1) внутреннего золота в виде слитков, хранящихся в Центре кассовых операций и хранения ценностей (филиале) Национального Банка Республики Казахстан (далее – Центр);</w:t>
      </w:r>
    </w:p>
    <w:bookmarkEnd w:id="73"/>
    <w:bookmarkStart w:name="z90" w:id="74"/>
    <w:p>
      <w:pPr>
        <w:spacing w:after="0"/>
        <w:ind w:left="0"/>
        <w:jc w:val="both"/>
      </w:pPr>
      <w:r>
        <w:rPr>
          <w:rFonts w:ascii="Times New Roman"/>
          <w:b w:val="false"/>
          <w:i w:val="false"/>
          <w:color w:val="000000"/>
          <w:sz w:val="28"/>
        </w:rPr>
        <w:t>
      2) внешнего золота в виде слитков, размещаемых на металлических счетах, открытых за пределами Республики Казахстан).</w:t>
      </w:r>
    </w:p>
    <w:bookmarkEnd w:id="74"/>
    <w:bookmarkStart w:name="z91" w:id="75"/>
    <w:p>
      <w:pPr>
        <w:spacing w:after="0"/>
        <w:ind w:left="0"/>
        <w:jc w:val="both"/>
      </w:pPr>
      <w:r>
        <w:rPr>
          <w:rFonts w:ascii="Times New Roman"/>
          <w:b w:val="false"/>
          <w:i w:val="false"/>
          <w:color w:val="000000"/>
          <w:sz w:val="28"/>
        </w:rPr>
        <w:t>
      56-9. Целями управления активами в золоте являются сохранность и защита от возможного понижения привлекательности активов в валюте на международных финансовых рынках. Получение сверхдоходности не является целью управления активами в золоте.</w:t>
      </w:r>
    </w:p>
    <w:bookmarkEnd w:id="75"/>
    <w:bookmarkStart w:name="z92" w:id="76"/>
    <w:p>
      <w:pPr>
        <w:spacing w:after="0"/>
        <w:ind w:left="0"/>
        <w:jc w:val="both"/>
      </w:pPr>
      <w:r>
        <w:rPr>
          <w:rFonts w:ascii="Times New Roman"/>
          <w:b w:val="false"/>
          <w:i w:val="false"/>
          <w:color w:val="000000"/>
          <w:sz w:val="28"/>
        </w:rPr>
        <w:t>
      56-10. Объем портфеля золота не превышает 5 (пяти) процентов от объема активов Фонда на момент перевода активов Фонда в портфель золота.</w:t>
      </w:r>
    </w:p>
    <w:bookmarkEnd w:id="76"/>
    <w:bookmarkStart w:name="z93" w:id="77"/>
    <w:p>
      <w:pPr>
        <w:spacing w:after="0"/>
        <w:ind w:left="0"/>
        <w:jc w:val="both"/>
      </w:pPr>
      <w:r>
        <w:rPr>
          <w:rFonts w:ascii="Times New Roman"/>
          <w:b w:val="false"/>
          <w:i w:val="false"/>
          <w:color w:val="000000"/>
          <w:sz w:val="28"/>
        </w:rPr>
        <w:t>
      56-11. Максимальный срок депозита (вклада) в золоте, необеспеченного активами, не превышает 1 (один) год.</w:t>
      </w:r>
    </w:p>
    <w:bookmarkEnd w:id="77"/>
    <w:bookmarkStart w:name="z94" w:id="78"/>
    <w:p>
      <w:pPr>
        <w:spacing w:after="0"/>
        <w:ind w:left="0"/>
        <w:jc w:val="both"/>
      </w:pPr>
      <w:r>
        <w:rPr>
          <w:rFonts w:ascii="Times New Roman"/>
          <w:b w:val="false"/>
          <w:i w:val="false"/>
          <w:color w:val="000000"/>
          <w:sz w:val="28"/>
        </w:rPr>
        <w:t>
      Максимальный срок депозита (вклада) в золоте, обеспеченного активами, не превышает 5 (пяти) лет.</w:t>
      </w:r>
    </w:p>
    <w:bookmarkEnd w:id="78"/>
    <w:bookmarkStart w:name="z95" w:id="79"/>
    <w:p>
      <w:pPr>
        <w:spacing w:after="0"/>
        <w:ind w:left="0"/>
        <w:jc w:val="both"/>
      </w:pPr>
      <w:r>
        <w:rPr>
          <w:rFonts w:ascii="Times New Roman"/>
          <w:b w:val="false"/>
          <w:i w:val="false"/>
          <w:color w:val="000000"/>
          <w:sz w:val="28"/>
        </w:rPr>
        <w:t>
      В качестве обеспечения выступают государственные ценные бумаги с долгосрочным кредитным рейтингом АА-(Standard&amp;Poor's)/Aa3(Moody's) и выше, разрешенные для инвестирования активов Фонда настоящими Правилами.</w:t>
      </w:r>
    </w:p>
    <w:bookmarkEnd w:id="79"/>
    <w:bookmarkStart w:name="z96" w:id="80"/>
    <w:p>
      <w:pPr>
        <w:spacing w:after="0"/>
        <w:ind w:left="0"/>
        <w:jc w:val="both"/>
      </w:pPr>
      <w:r>
        <w:rPr>
          <w:rFonts w:ascii="Times New Roman"/>
          <w:b w:val="false"/>
          <w:i w:val="false"/>
          <w:color w:val="000000"/>
          <w:sz w:val="28"/>
        </w:rPr>
        <w:t>
      56-12. При приобретении золота на внутреннем рынке с зачислением его на счета в Центре данное золото относится к позициям внутреннего золота Фонда, а при зачислении на счета, открытые за пределами Республики Казахстан, учитывается в позициях внешнего золота Фонда.</w:t>
      </w:r>
    </w:p>
    <w:bookmarkEnd w:id="80"/>
    <w:bookmarkStart w:name="z97" w:id="81"/>
    <w:p>
      <w:pPr>
        <w:spacing w:after="0"/>
        <w:ind w:left="0"/>
        <w:jc w:val="both"/>
      </w:pPr>
      <w:r>
        <w:rPr>
          <w:rFonts w:ascii="Times New Roman"/>
          <w:b w:val="false"/>
          <w:i w:val="false"/>
          <w:color w:val="000000"/>
          <w:sz w:val="28"/>
        </w:rPr>
        <w:t>
      56-13. Допускается инвестирование до 25 (двадцати пяти) процентов от объема внешнего золота в ценные бумаги, имеющие привязку к цене на золото, с долгосрочным кредитным рейтингом не ниже AAA (Standard&amp;Poor's) или Ааа (Moody's) и сроком погашения не более 10 (десяти) лет.";</w:t>
      </w:r>
    </w:p>
    <w:bookmarkEnd w:id="81"/>
    <w:bookmarkStart w:name="z98" w:id="82"/>
    <w:p>
      <w:pPr>
        <w:spacing w:after="0"/>
        <w:ind w:left="0"/>
        <w:jc w:val="both"/>
      </w:pPr>
      <w:r>
        <w:rPr>
          <w:rFonts w:ascii="Times New Roman"/>
          <w:b w:val="false"/>
          <w:i w:val="false"/>
          <w:color w:val="000000"/>
          <w:sz w:val="28"/>
        </w:rPr>
        <w:t>
      дополнить главой 8-1 следующего содержания:</w:t>
      </w:r>
    </w:p>
    <w:bookmarkEnd w:id="82"/>
    <w:bookmarkStart w:name="z99" w:id="83"/>
    <w:p>
      <w:pPr>
        <w:spacing w:after="0"/>
        <w:ind w:left="0"/>
        <w:jc w:val="both"/>
      </w:pPr>
      <w:r>
        <w:rPr>
          <w:rFonts w:ascii="Times New Roman"/>
          <w:b w:val="false"/>
          <w:i w:val="false"/>
          <w:color w:val="000000"/>
          <w:sz w:val="28"/>
        </w:rPr>
        <w:t>
      "Глава 8-1. Предоставление ценных бумаг взаймы под залог (securities lending)</w:t>
      </w:r>
    </w:p>
    <w:bookmarkEnd w:id="83"/>
    <w:bookmarkStart w:name="z100" w:id="84"/>
    <w:p>
      <w:pPr>
        <w:spacing w:after="0"/>
        <w:ind w:left="0"/>
        <w:jc w:val="both"/>
      </w:pPr>
      <w:r>
        <w:rPr>
          <w:rFonts w:ascii="Times New Roman"/>
          <w:b w:val="false"/>
          <w:i w:val="false"/>
          <w:color w:val="000000"/>
          <w:sz w:val="28"/>
        </w:rPr>
        <w:t>
      70-1. Операции по предоставлению ценных бумаг взаймы под залог (securities lending) осуществляются в соответствии с программами кастодианов, в рамках которых кастодиан выступает в качестве заемщика ценных бумаг.</w:t>
      </w:r>
    </w:p>
    <w:bookmarkEnd w:id="84"/>
    <w:bookmarkStart w:name="z101" w:id="85"/>
    <w:p>
      <w:pPr>
        <w:spacing w:after="0"/>
        <w:ind w:left="0"/>
        <w:jc w:val="both"/>
      </w:pPr>
      <w:r>
        <w:rPr>
          <w:rFonts w:ascii="Times New Roman"/>
          <w:b w:val="false"/>
          <w:i w:val="false"/>
          <w:color w:val="000000"/>
          <w:sz w:val="28"/>
        </w:rPr>
        <w:t>
      70-2. Обеспечением для операций по предоставлению ценных бумаг взаймы под залог (securities lending) являются ценные бумаги с минимальным кредитным рейтингом не ниже A+ (Standard&amp;Poor’s)/А1 (Moody’s) или аналогичным кредитным рейтингом других международных рейтинговых агентств, рыночная стоимость которых на момент открытия сделки составляет не менее 102 (ста двух) процентов от рыночной стоимости ценной бумаги, предоставляемой взаймы под залог (securities lending).</w:t>
      </w:r>
    </w:p>
    <w:bookmarkEnd w:id="85"/>
    <w:bookmarkStart w:name="z102" w:id="86"/>
    <w:p>
      <w:pPr>
        <w:spacing w:after="0"/>
        <w:ind w:left="0"/>
        <w:jc w:val="both"/>
      </w:pPr>
      <w:r>
        <w:rPr>
          <w:rFonts w:ascii="Times New Roman"/>
          <w:b w:val="false"/>
          <w:i w:val="false"/>
          <w:color w:val="000000"/>
          <w:sz w:val="28"/>
        </w:rPr>
        <w:t>
      В качестве обеспечения не принимаются ценные бумаги под залог недвижимости (MBS) и ценные бумаги под залог активов (ABS), наличные деньги, ценные бумаги, не номинированные в валютах сберегательного портфеля.</w:t>
      </w:r>
    </w:p>
    <w:bookmarkEnd w:id="86"/>
    <w:bookmarkStart w:name="z103" w:id="87"/>
    <w:p>
      <w:pPr>
        <w:spacing w:after="0"/>
        <w:ind w:left="0"/>
        <w:jc w:val="both"/>
      </w:pPr>
      <w:r>
        <w:rPr>
          <w:rFonts w:ascii="Times New Roman"/>
          <w:b w:val="false"/>
          <w:i w:val="false"/>
          <w:color w:val="000000"/>
          <w:sz w:val="28"/>
        </w:rPr>
        <w:t>
      70-3. Операции по предоставлению ценных бумаг взаймы под залог (securities lending) совершаются на срок не более 90 (девяносто) календарных дней.</w:t>
      </w:r>
    </w:p>
    <w:bookmarkEnd w:id="87"/>
    <w:bookmarkStart w:name="z104" w:id="88"/>
    <w:p>
      <w:pPr>
        <w:spacing w:after="0"/>
        <w:ind w:left="0"/>
        <w:jc w:val="both"/>
      </w:pPr>
      <w:r>
        <w:rPr>
          <w:rFonts w:ascii="Times New Roman"/>
          <w:b w:val="false"/>
          <w:i w:val="false"/>
          <w:color w:val="000000"/>
          <w:sz w:val="28"/>
        </w:rPr>
        <w:t>
      70-4. Предоставление ценных бумаг взаймы под залог (securities lending) допускается как в отношении активов в собственном управлении Национального Банка, так и активов, переданных во внешнее управление.";</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постановлению;</w:t>
      </w:r>
    </w:p>
    <w:bookmarkStart w:name="z106" w:id="89"/>
    <w:p>
      <w:pPr>
        <w:spacing w:after="0"/>
        <w:ind w:left="0"/>
        <w:jc w:val="both"/>
      </w:pPr>
      <w:r>
        <w:rPr>
          <w:rFonts w:ascii="Times New Roman"/>
          <w:b w:val="false"/>
          <w:i w:val="false"/>
          <w:color w:val="000000"/>
          <w:sz w:val="28"/>
        </w:rPr>
        <w:t xml:space="preserve">
      дополнить приложениями 6-1 и 6-2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постановлению.</w:t>
      </w:r>
    </w:p>
    <w:bookmarkEnd w:id="89"/>
    <w:bookmarkStart w:name="z107" w:id="90"/>
    <w:p>
      <w:pPr>
        <w:spacing w:after="0"/>
        <w:ind w:left="0"/>
        <w:jc w:val="both"/>
      </w:pPr>
      <w:r>
        <w:rPr>
          <w:rFonts w:ascii="Times New Roman"/>
          <w:b w:val="false"/>
          <w:i w:val="false"/>
          <w:color w:val="000000"/>
          <w:sz w:val="28"/>
        </w:rPr>
        <w:t>
      2. Департаменту монетарных операций (Молдабекова А.М.) в установленном законодательством Республики Казахстан порядке обеспечить:</w:t>
      </w:r>
    </w:p>
    <w:bookmarkEnd w:id="90"/>
    <w:bookmarkStart w:name="z108" w:id="91"/>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91"/>
    <w:bookmarkStart w:name="z109" w:id="9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92"/>
    <w:bookmarkStart w:name="z110" w:id="93"/>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93"/>
    <w:bookmarkStart w:name="z111" w:id="94"/>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94"/>
    <w:bookmarkStart w:name="z112" w:id="95"/>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95"/>
    <w:bookmarkStart w:name="z113" w:id="96"/>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96"/>
    <w:bookmarkStart w:name="z114" w:id="9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 ноября 2018 года.</w:t>
      </w:r>
    </w:p>
    <w:bookmarkEnd w:id="9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bookmarkStart w:name="z116" w:id="9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инвестиционных 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119" w:id="99"/>
    <w:p>
      <w:pPr>
        <w:spacing w:after="0"/>
        <w:ind w:left="0"/>
        <w:jc w:val="left"/>
      </w:pPr>
      <w:r>
        <w:rPr>
          <w:rFonts w:ascii="Times New Roman"/>
          <w:b/>
          <w:i w:val="false"/>
          <w:color w:val="000000"/>
        </w:rPr>
        <w:t xml:space="preserve"> Секторное распределение стабилизационного портфеля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3"/>
        <w:gridCol w:w="2023"/>
        <w:gridCol w:w="2474"/>
      </w:tblGrid>
      <w:tr>
        <w:trPr>
          <w:trHeight w:val="30" w:hRule="atLeast"/>
        </w:trPr>
        <w:tc>
          <w:tcPr>
            <w:tcW w:w="7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валюта (остатки на текущих счетах; деньги, размещенные в фонды денежного рынка с возможностью возврата на следующий рабочий день), государственные ценные бумаги стран, входящих в эталонный портфель</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стран, не входящих в эталонный индекс, агентские долговые обязательства, долговые обязательства международных финансовых организаций, муниципальные долговые обязательства стран, входящих в эталонный портфель</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(вклады), в том числе деньги, размещенные на депозиты (вклады) от операций репо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ценные бумаги, коммерческие ценные бумаги, депозитные сертификаты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20" w:id="100"/>
    <w:p>
      <w:pPr>
        <w:spacing w:after="0"/>
        <w:ind w:left="0"/>
        <w:jc w:val="both"/>
      </w:pPr>
      <w:r>
        <w:rPr>
          <w:rFonts w:ascii="Times New Roman"/>
          <w:b w:val="false"/>
          <w:i w:val="false"/>
          <w:color w:val="000000"/>
          <w:sz w:val="28"/>
        </w:rPr>
        <w:t>
      * для производных финансовых инструментов используется рыночная стоимость лежащих в их основе финансовых инструментов</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инвестиционных 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123" w:id="101"/>
    <w:p>
      <w:pPr>
        <w:spacing w:after="0"/>
        <w:ind w:left="0"/>
        <w:jc w:val="left"/>
      </w:pPr>
      <w:r>
        <w:rPr>
          <w:rFonts w:ascii="Times New Roman"/>
          <w:b/>
          <w:i w:val="false"/>
          <w:color w:val="000000"/>
        </w:rPr>
        <w:t xml:space="preserve"> План перехода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4"/>
        <w:gridCol w:w="1988"/>
        <w:gridCol w:w="1988"/>
        <w:gridCol w:w="1988"/>
        <w:gridCol w:w="2435"/>
        <w:gridCol w:w="17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доли портфелей в составе сберегательного портфеля на конец каждого года</w:t>
            </w:r>
          </w:p>
        </w:tc>
      </w:tr>
      <w:tr>
        <w:trPr>
          <w:trHeight w:val="30" w:hRule="atLeast"/>
        </w:trPr>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развитых стран</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инструменты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развитых стран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развивающихся стран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 выше</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выше</w:t>
            </w:r>
          </w:p>
        </w:tc>
        <w:tc>
          <w:tcPr>
            <w:tcW w:w="0" w:type="auto"/>
            <w:vMerge/>
            <w:tcBorders>
              <w:top w:val="nil"/>
              <w:left w:val="single" w:color="cfcfcf" w:sz="5"/>
              <w:bottom w:val="single" w:color="cfcfcf" w:sz="5"/>
              <w:right w:val="single" w:color="cfcfcf" w:sz="5"/>
            </w:tcBorders>
          </w:tcP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выше</w:t>
            </w:r>
          </w:p>
        </w:tc>
        <w:tc>
          <w:tcPr>
            <w:tcW w:w="0" w:type="auto"/>
            <w:vMerge/>
            <w:tcBorders>
              <w:top w:val="nil"/>
              <w:left w:val="single" w:color="cfcfcf" w:sz="5"/>
              <w:bottom w:val="single" w:color="cfcfcf" w:sz="5"/>
              <w:right w:val="single" w:color="cfcfcf" w:sz="5"/>
            </w:tcBorders>
          </w:tcP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 выше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инвестиционных 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126" w:id="102"/>
    <w:p>
      <w:pPr>
        <w:spacing w:after="0"/>
        <w:ind w:left="0"/>
        <w:jc w:val="left"/>
      </w:pPr>
      <w:r>
        <w:rPr>
          <w:rFonts w:ascii="Times New Roman"/>
          <w:b/>
          <w:i w:val="false"/>
          <w:color w:val="000000"/>
        </w:rPr>
        <w:t xml:space="preserve"> Секторное распределение портфеля государственных облигаций развитых стран</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8"/>
        <w:gridCol w:w="1912"/>
        <w:gridCol w:w="2300"/>
      </w:tblGrid>
      <w:tr>
        <w:trPr>
          <w:trHeight w:val="30" w:hRule="atLeast"/>
        </w:trPr>
        <w:tc>
          <w:tcPr>
            <w:tcW w:w="8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валюта (остатки на текущих счетах, деньги, размещенные в фонды денежного рынка с возможностью возврата на следующий рабочий день), государственные (суверенные) долговые обязательства и агентские долговые обязательства стран, входящих в эталонный портфель</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обязательства международных финансовых организаций</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(суверенные) долговые обязательства, агентские долговые обязательства стран, не входящих в эталонный портфель, муниципальные долговые обязательства стран, входящих в эталонный портфель</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(вклады), в том числе деньги, размещенные на депозиты (вклады) от операций репо</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(регулируются ограничением по Tracking Error)</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продукты (не включая ценные бумаги под залог недвижимости (MBS), ценные бумаги под залог активов (ABS))</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под залог недвижимости (MBS) и ценные бумаги под залог активов (ABS)</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и коммерческие ценные бумаги, депозитные сертификаты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bookmarkStart w:name="z127" w:id="103"/>
    <w:p>
      <w:pPr>
        <w:spacing w:after="0"/>
        <w:ind w:left="0"/>
        <w:jc w:val="both"/>
      </w:pPr>
      <w:r>
        <w:rPr>
          <w:rFonts w:ascii="Times New Roman"/>
          <w:b w:val="false"/>
          <w:i w:val="false"/>
          <w:color w:val="000000"/>
          <w:sz w:val="28"/>
        </w:rPr>
        <w:t>
      * для производных финансовых инструментов используется рыночная стоимость лежащих в их основе финансовых инструментов</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инвестиционных 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130" w:id="104"/>
    <w:p>
      <w:pPr>
        <w:spacing w:after="0"/>
        <w:ind w:left="0"/>
        <w:jc w:val="left"/>
      </w:pPr>
      <w:r>
        <w:rPr>
          <w:rFonts w:ascii="Times New Roman"/>
          <w:b/>
          <w:i w:val="false"/>
          <w:color w:val="000000"/>
        </w:rPr>
        <w:t xml:space="preserve"> Лимиты по долгосрочному кредитному рейтингу (Standard&amp;Poor's/Moody's) на корпоративные ценные бумаги в портфеле отдельного управляющего портфеля государственных облигаций развитых стран</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0"/>
        <w:gridCol w:w="1091"/>
        <w:gridCol w:w="1409"/>
      </w:tblGrid>
      <w:tr>
        <w:trPr>
          <w:trHeight w:val="30" w:hRule="atLeast"/>
        </w:trPr>
        <w:tc>
          <w:tcPr>
            <w:tcW w:w="9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долгосрочным кредитным рейтингом от BBB/Ваа2 до BBB+/Ваа1 включительно (доля с долгосрочным кредитным рейтингом BBB/Ваа2 не превышает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долгосрочным кредитным рейтингом от A-/А3 до A/А2 включительно</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долгосрочным кредитным рейтингом А+/А1 до AA-/Аа3 включительно</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инвестиционных 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 xml:space="preserve">Республики Казахстан </w:t>
            </w:r>
          </w:p>
        </w:tc>
      </w:tr>
    </w:tbl>
    <w:bookmarkStart w:name="z133" w:id="105"/>
    <w:p>
      <w:pPr>
        <w:spacing w:after="0"/>
        <w:ind w:left="0"/>
        <w:jc w:val="left"/>
      </w:pPr>
      <w:r>
        <w:rPr>
          <w:rFonts w:ascii="Times New Roman"/>
          <w:b/>
          <w:i w:val="false"/>
          <w:color w:val="000000"/>
        </w:rPr>
        <w:t xml:space="preserve"> Максимальные отклонения в портфеле государственных облигаций развитых стран, не входящих в эталонный портфель, агентских долговых обязательств, муниципальных долговых обязательств стран, входящих в эталонный портфель, долговых обязательств международных финансовых организаций с долгосрочным кредитным рейтингом АА-(Standard&amp;Poor's)/Aa3(Moody's) и ниже</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7"/>
        <w:gridCol w:w="1156"/>
        <w:gridCol w:w="1447"/>
      </w:tblGrid>
      <w:tr>
        <w:trPr>
          <w:trHeight w:val="30" w:hRule="atLeast"/>
        </w:trPr>
        <w:tc>
          <w:tcPr>
            <w:tcW w:w="9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долгосрочным кредитным рейтингом от ВВВ/Baa2 до BBB+/Baa1 включительно (доля с долгосрочным кредитным рейтингом BBB/Ваа2 не превышает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долгосрочным кредитным рейтингом от А-/А3 до А/А2 включительно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долгосрочным кредитным рейтингом от А+/А1 до АА-/Аа3 включительно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инвестиционных 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136" w:id="106"/>
    <w:p>
      <w:pPr>
        <w:spacing w:after="0"/>
        <w:ind w:left="0"/>
        <w:jc w:val="left"/>
      </w:pPr>
      <w:r>
        <w:rPr>
          <w:rFonts w:ascii="Times New Roman"/>
          <w:b/>
          <w:i w:val="false"/>
          <w:color w:val="000000"/>
        </w:rPr>
        <w:t xml:space="preserve"> Секторное распределение портфеля государственных облигаций развивающихся стран</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8"/>
        <w:gridCol w:w="2099"/>
        <w:gridCol w:w="2523"/>
      </w:tblGrid>
      <w:tr>
        <w:trPr>
          <w:trHeight w:val="30" w:hRule="atLeast"/>
        </w:trPr>
        <w:tc>
          <w:tcPr>
            <w:tcW w:w="7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(оставшаяся валюта на текущих счетах, финансовые активы, размещенные в фондах денежного рынка с возможностью возврата на следующий рабочий день), государственные ценные бумаги стран, входящих в эталонный портфель</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долговые обязательства стран, не входящих в эталонный портфель, агентские долговые обязательства, долговые обязательства международных финансовых организаций</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(вклады)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(регулируются ограничением по Tracking Error)</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и коммерческие ценные бумаги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37" w:id="107"/>
    <w:p>
      <w:pPr>
        <w:spacing w:after="0"/>
        <w:ind w:left="0"/>
        <w:jc w:val="both"/>
      </w:pPr>
      <w:r>
        <w:rPr>
          <w:rFonts w:ascii="Times New Roman"/>
          <w:b w:val="false"/>
          <w:i w:val="false"/>
          <w:color w:val="000000"/>
          <w:sz w:val="28"/>
        </w:rPr>
        <w:t>
      * для производных финансовых инструментов используется рыночная стоимость лежащих в их основе финансовых инструментов</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инвестиционных 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140" w:id="108"/>
    <w:p>
      <w:pPr>
        <w:spacing w:after="0"/>
        <w:ind w:left="0"/>
        <w:jc w:val="left"/>
      </w:pPr>
      <w:r>
        <w:rPr>
          <w:rFonts w:ascii="Times New Roman"/>
          <w:b/>
          <w:i w:val="false"/>
          <w:color w:val="000000"/>
        </w:rPr>
        <w:t xml:space="preserve"> Секторное распределение портфеля корпоративных облигаций</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6"/>
        <w:gridCol w:w="2181"/>
        <w:gridCol w:w="2623"/>
      </w:tblGrid>
      <w:tr>
        <w:trPr>
          <w:trHeight w:val="30" w:hRule="atLeast"/>
        </w:trPr>
        <w:tc>
          <w:tcPr>
            <w:tcW w:w="7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(оставшаяся валюта на текущих счетах, финансовые активы, размещенные в фондах денежного рынка с возможностью возврата на следующий рабочий день)</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ценные бумаги, входящие в эталонный портфель</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ценные бумаги, не входящие в эталонный портфель</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долговые обязательства стран, входящих в эталонный портфель, агентские долговые обязательства, долговые обязательства международных финансовых организаций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(вклады)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(регулируются ограничением по Tracking Error)</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bl>
    <w:bookmarkStart w:name="z141" w:id="109"/>
    <w:p>
      <w:pPr>
        <w:spacing w:after="0"/>
        <w:ind w:left="0"/>
        <w:jc w:val="both"/>
      </w:pPr>
      <w:r>
        <w:rPr>
          <w:rFonts w:ascii="Times New Roman"/>
          <w:b w:val="false"/>
          <w:i w:val="false"/>
          <w:color w:val="000000"/>
          <w:sz w:val="28"/>
        </w:rPr>
        <w:t>
      * для производных финансовых инструментов используется рыночная стоимость лежащих в их основе финансовых инструментов</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