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dce75" w14:textId="b9dce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клиринговой деятельности по сделкам с финансовыми инструментами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октября 2018 года № 254. Зарегистрировано в Министерстве юстиции Республики Казахстан 29 ноября 2018 года № 17822.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осуществления клиринговой деятельности по сделкам с финансовыми инструментами.</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Департаменту регулирования небанковских финансовых организаций (Кошербаева А.М.)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4 настоящего постановления.</w:t>
      </w:r>
    </w:p>
    <w:bookmarkEnd w:id="7"/>
    <w:bookmarkStart w:name="z12" w:id="8"/>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8"/>
    <w:bookmarkStart w:name="z13" w:id="9"/>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Курманова Ж.Б.</w:t>
      </w:r>
    </w:p>
    <w:bookmarkEnd w:id="9"/>
    <w:bookmarkStart w:name="z14" w:id="10"/>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Председатель</w:t>
            </w:r>
          </w:p>
          <w:p>
            <w:pPr>
              <w:spacing w:after="20"/>
              <w:ind w:left="20"/>
              <w:jc w:val="both"/>
            </w:pPr>
          </w:p>
          <w:p>
            <w:pPr>
              <w:spacing w:after="20"/>
              <w:ind w:left="20"/>
              <w:jc w:val="both"/>
            </w:pPr>
            <w:r>
              <w:rPr>
                <w:rFonts w:ascii="Times New Roman"/>
                <w:b/>
                <w:i w:val="false"/>
                <w:color w:val="000000"/>
                <w:sz w:val="20"/>
              </w:rPr>
              <w:t>Национального Банка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254</w:t>
            </w:r>
          </w:p>
        </w:tc>
      </w:tr>
    </w:tbl>
    <w:bookmarkStart w:name="z17" w:id="11"/>
    <w:p>
      <w:pPr>
        <w:spacing w:after="0"/>
        <w:ind w:left="0"/>
        <w:jc w:val="left"/>
      </w:pPr>
      <w:r>
        <w:rPr>
          <w:rFonts w:ascii="Times New Roman"/>
          <w:b/>
          <w:i w:val="false"/>
          <w:color w:val="000000"/>
        </w:rPr>
        <w:t xml:space="preserve"> Правила осуществления клиринговой деятельности по сделкам с финансовыми инструментами</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Правила осуществления клиринговой деятельности по сделкам с финансовыми инструментами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(далее – Закон) и определяют условия и порядок осуществления клиринговой деятельности по сделкам с финансовыми инструментами.</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2. Для целей Правил используются следующие понятия:</w:t>
      </w:r>
    </w:p>
    <w:bookmarkEnd w:id="14"/>
    <w:bookmarkStart w:name="z21" w:id="15"/>
    <w:p>
      <w:pPr>
        <w:spacing w:after="0"/>
        <w:ind w:left="0"/>
        <w:jc w:val="both"/>
      </w:pPr>
      <w:r>
        <w:rPr>
          <w:rFonts w:ascii="Times New Roman"/>
          <w:b w:val="false"/>
          <w:i w:val="false"/>
          <w:color w:val="000000"/>
          <w:sz w:val="28"/>
        </w:rPr>
        <w:t>
      1) расчетная организация - центральный депозитарий и (или) фондовая биржа и (или) клиринговая организация и (или) иная организация, обладающая лицензией на переводные операции;</w:t>
      </w:r>
    </w:p>
    <w:bookmarkEnd w:id="15"/>
    <w:bookmarkStart w:name="z22" w:id="16"/>
    <w:p>
      <w:pPr>
        <w:spacing w:after="0"/>
        <w:ind w:left="0"/>
        <w:jc w:val="both"/>
      </w:pPr>
      <w:r>
        <w:rPr>
          <w:rFonts w:ascii="Times New Roman"/>
          <w:b w:val="false"/>
          <w:i w:val="false"/>
          <w:color w:val="000000"/>
          <w:sz w:val="28"/>
        </w:rPr>
        <w:t>
      2) клиринговая организация - организация, обладающая лицензией на клиринговую деятельность по сделкам с финансовыми инструментами, и центральный депозитарий;</w:t>
      </w:r>
    </w:p>
    <w:bookmarkEnd w:id="16"/>
    <w:bookmarkStart w:name="z23" w:id="17"/>
    <w:p>
      <w:pPr>
        <w:spacing w:after="0"/>
        <w:ind w:left="0"/>
        <w:jc w:val="both"/>
      </w:pPr>
      <w:r>
        <w:rPr>
          <w:rFonts w:ascii="Times New Roman"/>
          <w:b w:val="false"/>
          <w:i w:val="false"/>
          <w:color w:val="000000"/>
          <w:sz w:val="28"/>
        </w:rPr>
        <w:t>
      3) обеспечение – деньги (тенге, иностранная валюта), ценные бумаги и иные финансовые инструменты клиринговых участников, используемые для обеспечения исполнения обязательств клирингового участника по сделкам, по которым осуществляется клиринговая деятельность;</w:t>
      </w:r>
    </w:p>
    <w:bookmarkEnd w:id="17"/>
    <w:bookmarkStart w:name="z24" w:id="18"/>
    <w:p>
      <w:pPr>
        <w:spacing w:after="0"/>
        <w:ind w:left="0"/>
        <w:jc w:val="both"/>
      </w:pPr>
      <w:r>
        <w:rPr>
          <w:rFonts w:ascii="Times New Roman"/>
          <w:b w:val="false"/>
          <w:i w:val="false"/>
          <w:color w:val="000000"/>
          <w:sz w:val="28"/>
        </w:rPr>
        <w:t>
      4) чистая позиция (нетто-позиция) - позиция клирингового участника по сделкам с финансовым инструментом, определяемая в результате взаимозачета требований и обязательств клирингового участника, возникших в результате сделок с данным финансовым инструментом;</w:t>
      </w:r>
    </w:p>
    <w:bookmarkEnd w:id="18"/>
    <w:bookmarkStart w:name="z25" w:id="19"/>
    <w:p>
      <w:pPr>
        <w:spacing w:after="0"/>
        <w:ind w:left="0"/>
        <w:jc w:val="both"/>
      </w:pPr>
      <w:r>
        <w:rPr>
          <w:rFonts w:ascii="Times New Roman"/>
          <w:b w:val="false"/>
          <w:i w:val="false"/>
          <w:color w:val="000000"/>
          <w:sz w:val="28"/>
        </w:rPr>
        <w:t>
      5) уполномоченный орган - уполномоченный орган по регулированию, контролю и надзору финансового рынка и финансовых организаций.</w:t>
      </w:r>
    </w:p>
    <w:bookmarkEnd w:id="19"/>
    <w:bookmarkStart w:name="z26" w:id="20"/>
    <w:p>
      <w:pPr>
        <w:spacing w:after="0"/>
        <w:ind w:left="0"/>
        <w:jc w:val="both"/>
      </w:pPr>
      <w:r>
        <w:rPr>
          <w:rFonts w:ascii="Times New Roman"/>
          <w:b w:val="false"/>
          <w:i w:val="false"/>
          <w:color w:val="000000"/>
          <w:sz w:val="28"/>
        </w:rPr>
        <w:t>
      3. Организационная структура клиринговой организации включает в себя подразделения, основными функциями которых являются:</w:t>
      </w:r>
    </w:p>
    <w:bookmarkEnd w:id="20"/>
    <w:bookmarkStart w:name="z27" w:id="21"/>
    <w:p>
      <w:pPr>
        <w:spacing w:after="0"/>
        <w:ind w:left="0"/>
        <w:jc w:val="both"/>
      </w:pPr>
      <w:r>
        <w:rPr>
          <w:rFonts w:ascii="Times New Roman"/>
          <w:b w:val="false"/>
          <w:i w:val="false"/>
          <w:color w:val="000000"/>
          <w:sz w:val="28"/>
        </w:rPr>
        <w:t>
      1) осуществление клиринговой деятельности по сделкам с финансовыми инструментами;</w:t>
      </w:r>
    </w:p>
    <w:bookmarkEnd w:id="21"/>
    <w:bookmarkStart w:name="z28" w:id="22"/>
    <w:p>
      <w:pPr>
        <w:spacing w:after="0"/>
        <w:ind w:left="0"/>
        <w:jc w:val="both"/>
      </w:pPr>
      <w:r>
        <w:rPr>
          <w:rFonts w:ascii="Times New Roman"/>
          <w:b w:val="false"/>
          <w:i w:val="false"/>
          <w:color w:val="000000"/>
          <w:sz w:val="28"/>
        </w:rPr>
        <w:t>
      2) инвестирование маржевых взносов и денег, входящих в состав гарантийных или резервных фондов клиринговой организации и иного обеспечения;</w:t>
      </w:r>
    </w:p>
    <w:bookmarkEnd w:id="22"/>
    <w:bookmarkStart w:name="z29" w:id="23"/>
    <w:p>
      <w:pPr>
        <w:spacing w:after="0"/>
        <w:ind w:left="0"/>
        <w:jc w:val="both"/>
      </w:pPr>
      <w:r>
        <w:rPr>
          <w:rFonts w:ascii="Times New Roman"/>
          <w:b w:val="false"/>
          <w:i w:val="false"/>
          <w:color w:val="000000"/>
          <w:sz w:val="28"/>
        </w:rPr>
        <w:t>
      3) обработка и распространение информации по результатам клиринговой деятельности по сделкам с финансовыми инструментами;</w:t>
      </w:r>
    </w:p>
    <w:bookmarkEnd w:id="23"/>
    <w:bookmarkStart w:name="z30" w:id="24"/>
    <w:p>
      <w:pPr>
        <w:spacing w:after="0"/>
        <w:ind w:left="0"/>
        <w:jc w:val="both"/>
      </w:pPr>
      <w:r>
        <w:rPr>
          <w:rFonts w:ascii="Times New Roman"/>
          <w:b w:val="false"/>
          <w:i w:val="false"/>
          <w:color w:val="000000"/>
          <w:sz w:val="28"/>
        </w:rPr>
        <w:t>
      4) программно-техническое обеспечение деятельности клиринговой организации;</w:t>
      </w:r>
    </w:p>
    <w:bookmarkEnd w:id="24"/>
    <w:bookmarkStart w:name="z31" w:id="25"/>
    <w:p>
      <w:pPr>
        <w:spacing w:after="0"/>
        <w:ind w:left="0"/>
        <w:jc w:val="both"/>
      </w:pPr>
      <w:r>
        <w:rPr>
          <w:rFonts w:ascii="Times New Roman"/>
          <w:b w:val="false"/>
          <w:i w:val="false"/>
          <w:color w:val="000000"/>
          <w:sz w:val="28"/>
        </w:rPr>
        <w:t>
      5) управление рисками клиринговой организации;</w:t>
      </w:r>
    </w:p>
    <w:bookmarkEnd w:id="25"/>
    <w:bookmarkStart w:name="z32" w:id="26"/>
    <w:p>
      <w:pPr>
        <w:spacing w:after="0"/>
        <w:ind w:left="0"/>
        <w:jc w:val="both"/>
      </w:pPr>
      <w:r>
        <w:rPr>
          <w:rFonts w:ascii="Times New Roman"/>
          <w:b w:val="false"/>
          <w:i w:val="false"/>
          <w:color w:val="000000"/>
          <w:sz w:val="28"/>
        </w:rPr>
        <w:t>
      6) мониторинг финансового состояния клиринговых участников, а также их соответствия правилам клиринговой организации;</w:t>
      </w:r>
    </w:p>
    <w:bookmarkEnd w:id="26"/>
    <w:bookmarkStart w:name="z33" w:id="27"/>
    <w:p>
      <w:pPr>
        <w:spacing w:after="0"/>
        <w:ind w:left="0"/>
        <w:jc w:val="both"/>
      </w:pPr>
      <w:r>
        <w:rPr>
          <w:rFonts w:ascii="Times New Roman"/>
          <w:b w:val="false"/>
          <w:i w:val="false"/>
          <w:color w:val="000000"/>
          <w:sz w:val="28"/>
        </w:rPr>
        <w:t>
      7) организация расчетов (платежей) по сделкам с финансовыми инструментами (при наличии у клиринговой организации лицензии на переводные операции);</w:t>
      </w:r>
    </w:p>
    <w:bookmarkEnd w:id="27"/>
    <w:bookmarkStart w:name="z34" w:id="28"/>
    <w:p>
      <w:pPr>
        <w:spacing w:after="0"/>
        <w:ind w:left="0"/>
        <w:jc w:val="both"/>
      </w:pPr>
      <w:r>
        <w:rPr>
          <w:rFonts w:ascii="Times New Roman"/>
          <w:b w:val="false"/>
          <w:i w:val="false"/>
          <w:color w:val="000000"/>
          <w:sz w:val="28"/>
        </w:rPr>
        <w:t>
      8) внутренний аудит и контроль.</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Правления Национального Банка РК от 07.10.2019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4. Клиринговая организация, совмещающая деятельность по организации торговли с ценными бумагами и иными финансовыми инструментами с клиринговой деятельностью или депозитарную деятельность с клиринговой деятельностью, обеспечивает наличие:</w:t>
      </w:r>
    </w:p>
    <w:bookmarkEnd w:id="29"/>
    <w:p>
      <w:pPr>
        <w:spacing w:after="0"/>
        <w:ind w:left="0"/>
        <w:jc w:val="both"/>
      </w:pPr>
      <w:r>
        <w:rPr>
          <w:rFonts w:ascii="Times New Roman"/>
          <w:b w:val="false"/>
          <w:i w:val="false"/>
          <w:color w:val="000000"/>
          <w:sz w:val="28"/>
        </w:rPr>
        <w:t>
      1) в организационной структуре отдельного (отдельных) подразделения (подразделений) для осуществления функций в рамках клиринговой деятельности по сделкам с финансовыми инструментами;</w:t>
      </w:r>
    </w:p>
    <w:p>
      <w:pPr>
        <w:spacing w:after="0"/>
        <w:ind w:left="0"/>
        <w:jc w:val="both"/>
      </w:pPr>
      <w:r>
        <w:rPr>
          <w:rFonts w:ascii="Times New Roman"/>
          <w:b w:val="false"/>
          <w:i w:val="false"/>
          <w:color w:val="000000"/>
          <w:sz w:val="28"/>
        </w:rPr>
        <w:t>
      2) у подразделения (подразделений), осуществляющего (осуществляющих) клиринговую деятельность по сделкам с финансовыми инструментами, отдельных помещений, а также систем сбора, регистрации и учета информации для осуществления клиринговой деятельности по сделкам с финансовыми инструментами.</w:t>
      </w:r>
    </w:p>
    <w:p>
      <w:pPr>
        <w:spacing w:after="0"/>
        <w:ind w:left="0"/>
        <w:jc w:val="both"/>
      </w:pPr>
      <w:r>
        <w:rPr>
          <w:rFonts w:ascii="Times New Roman"/>
          <w:b w:val="false"/>
          <w:i w:val="false"/>
          <w:color w:val="000000"/>
          <w:sz w:val="28"/>
        </w:rPr>
        <w:t xml:space="preserve">
      На подразделение (подразделения), осуществляющее (осуществляющие) клиринговую деятельность по сделкам с финансовыми инструментами, и работников данного подразделения (данных подразделений) не возлагаются функции подразделений фондовой биржи или центрального депозитария, осуществляющих другие виды профессиональной деятельности на рынке ценных бумаг, а также функция, указанная в </w:t>
      </w:r>
      <w:r>
        <w:rPr>
          <w:rFonts w:ascii="Times New Roman"/>
          <w:b w:val="false"/>
          <w:i w:val="false"/>
          <w:color w:val="000000"/>
          <w:sz w:val="28"/>
        </w:rPr>
        <w:t>подпункте 2)</w:t>
      </w:r>
      <w:r>
        <w:rPr>
          <w:rFonts w:ascii="Times New Roman"/>
          <w:b w:val="false"/>
          <w:i w:val="false"/>
          <w:color w:val="000000"/>
          <w:sz w:val="28"/>
        </w:rPr>
        <w:t xml:space="preserve"> пункта 3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Правления Национального Банка РК от 07.10.2019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0"/>
    <w:p>
      <w:pPr>
        <w:spacing w:after="0"/>
        <w:ind w:left="0"/>
        <w:jc w:val="both"/>
      </w:pPr>
      <w:r>
        <w:rPr>
          <w:rFonts w:ascii="Times New Roman"/>
          <w:b w:val="false"/>
          <w:i w:val="false"/>
          <w:color w:val="000000"/>
          <w:sz w:val="28"/>
        </w:rPr>
        <w:t xml:space="preserve">
      5. При совмещении клиринговой организацией деятельности по организации торговли ценными бумагами и иными финансовыми инструментами с клиринговой деятельностью, допускается совмещение функций подразделениями, указанными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3 Правил, с подразделениями организатора торгов, осуществляющими аналогичные функции.</w:t>
      </w:r>
    </w:p>
    <w:bookmarkEnd w:id="30"/>
    <w:p>
      <w:pPr>
        <w:spacing w:after="0"/>
        <w:ind w:left="0"/>
        <w:jc w:val="both"/>
      </w:pPr>
      <w:r>
        <w:rPr>
          <w:rFonts w:ascii="Times New Roman"/>
          <w:b w:val="false"/>
          <w:i w:val="false"/>
          <w:color w:val="000000"/>
          <w:sz w:val="28"/>
        </w:rPr>
        <w:t>
      6. Требования Правил распространяются на клиринговую организацию, осуществляющую функции центрального контрагента.</w:t>
      </w:r>
    </w:p>
    <w:bookmarkStart w:name="z105" w:id="31"/>
    <w:p>
      <w:pPr>
        <w:spacing w:after="0"/>
        <w:ind w:left="0"/>
        <w:jc w:val="both"/>
      </w:pPr>
      <w:r>
        <w:rPr>
          <w:rFonts w:ascii="Times New Roman"/>
          <w:b w:val="false"/>
          <w:i w:val="false"/>
          <w:color w:val="000000"/>
          <w:sz w:val="28"/>
        </w:rPr>
        <w:t>
      6-1. Клиринговая организация осуществляет прием, учет и контроль достаточности залогового обеспечения в рамках системы обеспечения завершенности расчетов в межбанковской системе платежных карточек в соответствии с внутренними документами клиринговой организации и соглашением, заключенным между клиринговой организацией и Национальным Банком Республики Казахстан.</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 в соответствии с постановлением Правления Агентства РК по регулированию и развитию финансового рынка от 26.06.2023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2"/>
    <w:p>
      <w:pPr>
        <w:spacing w:after="0"/>
        <w:ind w:left="0"/>
        <w:jc w:val="left"/>
      </w:pPr>
      <w:r>
        <w:rPr>
          <w:rFonts w:ascii="Times New Roman"/>
          <w:b/>
          <w:i w:val="false"/>
          <w:color w:val="000000"/>
        </w:rPr>
        <w:t xml:space="preserve"> Глава 2. Клиринговые участники</w:t>
      </w:r>
    </w:p>
    <w:bookmarkEnd w:id="32"/>
    <w:bookmarkStart w:name="z42" w:id="33"/>
    <w:p>
      <w:pPr>
        <w:spacing w:after="0"/>
        <w:ind w:left="0"/>
        <w:jc w:val="both"/>
      </w:pPr>
      <w:r>
        <w:rPr>
          <w:rFonts w:ascii="Times New Roman"/>
          <w:b w:val="false"/>
          <w:i w:val="false"/>
          <w:color w:val="000000"/>
          <w:sz w:val="28"/>
        </w:rPr>
        <w:t>
      7. Порядок и условия присвоения (приостановления действия, лишения) статуса клирингового участника торгов устанавливаются правилами клиринговой организации.</w:t>
      </w:r>
    </w:p>
    <w:bookmarkEnd w:id="33"/>
    <w:bookmarkStart w:name="z43" w:id="34"/>
    <w:p>
      <w:pPr>
        <w:spacing w:after="0"/>
        <w:ind w:left="0"/>
        <w:jc w:val="both"/>
      </w:pPr>
      <w:r>
        <w:rPr>
          <w:rFonts w:ascii="Times New Roman"/>
          <w:b w:val="false"/>
          <w:i w:val="false"/>
          <w:color w:val="000000"/>
          <w:sz w:val="28"/>
        </w:rPr>
        <w:t>
      8. Клиринговые участники:</w:t>
      </w:r>
    </w:p>
    <w:bookmarkEnd w:id="34"/>
    <w:bookmarkStart w:name="z44" w:id="35"/>
    <w:p>
      <w:pPr>
        <w:spacing w:after="0"/>
        <w:ind w:left="0"/>
        <w:jc w:val="both"/>
      </w:pPr>
      <w:r>
        <w:rPr>
          <w:rFonts w:ascii="Times New Roman"/>
          <w:b w:val="false"/>
          <w:i w:val="false"/>
          <w:color w:val="000000"/>
          <w:sz w:val="28"/>
        </w:rPr>
        <w:t>
      1) предоставляют клиринговой организации информацию о своей деятельности, необходимую для осуществления мониторинга финансового состояния клиринговых участников, а также соответствия клиринговых участников требованиям правил клиринговой организации, в объеме, порядке и сроки, предусмотренные правилами клиринговой организации;</w:t>
      </w:r>
    </w:p>
    <w:bookmarkEnd w:id="35"/>
    <w:bookmarkStart w:name="z45" w:id="36"/>
    <w:p>
      <w:pPr>
        <w:spacing w:after="0"/>
        <w:ind w:left="0"/>
        <w:jc w:val="both"/>
      </w:pPr>
      <w:r>
        <w:rPr>
          <w:rFonts w:ascii="Times New Roman"/>
          <w:b w:val="false"/>
          <w:i w:val="false"/>
          <w:color w:val="000000"/>
          <w:sz w:val="28"/>
        </w:rPr>
        <w:t>
      2) уплачивают взносы и сборы клиринговой организации в порядке, предусмотренном правилами клиринговой организации.</w:t>
      </w:r>
    </w:p>
    <w:bookmarkEnd w:id="36"/>
    <w:bookmarkStart w:name="z46" w:id="37"/>
    <w:p>
      <w:pPr>
        <w:spacing w:after="0"/>
        <w:ind w:left="0"/>
        <w:jc w:val="both"/>
      </w:pPr>
      <w:r>
        <w:rPr>
          <w:rFonts w:ascii="Times New Roman"/>
          <w:b w:val="false"/>
          <w:i w:val="false"/>
          <w:color w:val="000000"/>
          <w:sz w:val="28"/>
        </w:rPr>
        <w:t>
      9. Клиринговая организация уведомляет уполномоченный орган обо всех случаях присвоения, приостановления (возобновления) действия и лишения статуса клирингового участника не позднее следующего рабочего дня после наступления такого случая.</w:t>
      </w:r>
    </w:p>
    <w:bookmarkEnd w:id="37"/>
    <w:bookmarkStart w:name="z47" w:id="38"/>
    <w:p>
      <w:pPr>
        <w:spacing w:after="0"/>
        <w:ind w:left="0"/>
        <w:jc w:val="both"/>
      </w:pPr>
      <w:r>
        <w:rPr>
          <w:rFonts w:ascii="Times New Roman"/>
          <w:b w:val="false"/>
          <w:i w:val="false"/>
          <w:color w:val="000000"/>
          <w:sz w:val="28"/>
        </w:rPr>
        <w:t>
      10. Уполномоченный орган уведомляет клиринговую организацию о приостановлении или прекращении действия лицензии клирингового участника в день направления соответствующего уведомления в адрес данного клирингового участника.</w:t>
      </w:r>
    </w:p>
    <w:bookmarkEnd w:id="38"/>
    <w:bookmarkStart w:name="z48" w:id="39"/>
    <w:p>
      <w:pPr>
        <w:spacing w:after="0"/>
        <w:ind w:left="0"/>
        <w:jc w:val="both"/>
      </w:pPr>
      <w:r>
        <w:rPr>
          <w:rFonts w:ascii="Times New Roman"/>
          <w:b w:val="false"/>
          <w:i w:val="false"/>
          <w:color w:val="000000"/>
          <w:sz w:val="28"/>
        </w:rPr>
        <w:t xml:space="preserve">
      Клиринговая организация не обслуживает (прекращает обслуживание) клирингового участника, действие лицензии которого было приостановлено или прекращено, с даты получения указанного уведомления, за исключением случаев, предусмотренных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48-1 Закона Республики Казахстан от 31 августа 1995 года "О банках и банковской деятельности в Республике Казахстан" и </w:t>
      </w:r>
      <w:r>
        <w:rPr>
          <w:rFonts w:ascii="Times New Roman"/>
          <w:b w:val="false"/>
          <w:i w:val="false"/>
          <w:color w:val="000000"/>
          <w:sz w:val="28"/>
        </w:rPr>
        <w:t>пунктом 6</w:t>
      </w:r>
      <w:r>
        <w:rPr>
          <w:rFonts w:ascii="Times New Roman"/>
          <w:b w:val="false"/>
          <w:i w:val="false"/>
          <w:color w:val="000000"/>
          <w:sz w:val="28"/>
        </w:rPr>
        <w:t xml:space="preserve"> статьи 51 Закона.</w:t>
      </w:r>
    </w:p>
    <w:bookmarkEnd w:id="39"/>
    <w:bookmarkStart w:name="z49" w:id="40"/>
    <w:p>
      <w:pPr>
        <w:spacing w:after="0"/>
        <w:ind w:left="0"/>
        <w:jc w:val="both"/>
      </w:pPr>
      <w:r>
        <w:rPr>
          <w:rFonts w:ascii="Times New Roman"/>
          <w:b w:val="false"/>
          <w:i w:val="false"/>
          <w:color w:val="000000"/>
          <w:sz w:val="28"/>
        </w:rPr>
        <w:t>
      11. Клиринговая организация проводит процедуры по урегулированию факта полного или частичного неисполнения либо ненадлежащего исполнения обязательств клирингового участника (с целью принудительной ликвидации его открытых позиций, в том числе в случае приостановления или прекращения действия лицензии клирингового участника) путем:</w:t>
      </w:r>
    </w:p>
    <w:bookmarkEnd w:id="40"/>
    <w:bookmarkStart w:name="z50" w:id="41"/>
    <w:p>
      <w:pPr>
        <w:spacing w:after="0"/>
        <w:ind w:left="0"/>
        <w:jc w:val="both"/>
      </w:pPr>
      <w:r>
        <w:rPr>
          <w:rFonts w:ascii="Times New Roman"/>
          <w:b w:val="false"/>
          <w:i w:val="false"/>
          <w:color w:val="000000"/>
          <w:sz w:val="28"/>
        </w:rPr>
        <w:t xml:space="preserve">
      1) подачи заявок и заключения сделок с финансовыми инструментами в торговой системе фондовой и (или) товарной биржи или на неорганизованном рынке ценных бумаг от имени данного клирингового участника и от имени добросовестных клиринговых участников; </w:t>
      </w:r>
    </w:p>
    <w:bookmarkEnd w:id="41"/>
    <w:bookmarkStart w:name="z51" w:id="42"/>
    <w:p>
      <w:pPr>
        <w:spacing w:after="0"/>
        <w:ind w:left="0"/>
        <w:jc w:val="both"/>
      </w:pPr>
      <w:r>
        <w:rPr>
          <w:rFonts w:ascii="Times New Roman"/>
          <w:b w:val="false"/>
          <w:i w:val="false"/>
          <w:color w:val="000000"/>
          <w:sz w:val="28"/>
        </w:rPr>
        <w:t>
      2) заключения сделок от имени данного клирингового участника и добросовестных клиринговых участников с клиринговой организацией без согласия данных клиринговых участников и (или) совершения иных действий в порядке и на условиях, определенных правилами клиринговой организации.</w:t>
      </w:r>
    </w:p>
    <w:bookmarkEnd w:id="42"/>
    <w:bookmarkStart w:name="z52" w:id="43"/>
    <w:p>
      <w:pPr>
        <w:spacing w:after="0"/>
        <w:ind w:left="0"/>
        <w:jc w:val="both"/>
      </w:pPr>
      <w:r>
        <w:rPr>
          <w:rFonts w:ascii="Times New Roman"/>
          <w:b w:val="false"/>
          <w:i w:val="false"/>
          <w:color w:val="000000"/>
          <w:sz w:val="28"/>
        </w:rPr>
        <w:t>
      Обязательства клирингового участника, допустившего полное или частичное неисполнение либо ненадлежащее их исполнение, подлежат исполнению клиринговой организацией в соответствии с правилами клиринговой организации.</w:t>
      </w:r>
    </w:p>
    <w:bookmarkEnd w:id="43"/>
    <w:bookmarkStart w:name="z53" w:id="44"/>
    <w:p>
      <w:pPr>
        <w:spacing w:after="0"/>
        <w:ind w:left="0"/>
        <w:jc w:val="both"/>
      </w:pPr>
      <w:r>
        <w:rPr>
          <w:rFonts w:ascii="Times New Roman"/>
          <w:b w:val="false"/>
          <w:i w:val="false"/>
          <w:color w:val="000000"/>
          <w:sz w:val="28"/>
        </w:rPr>
        <w:t>
      12. Урегулирование факта полного или частичного неисполнения либо ненадлежащего исполнения обязательств клирингового участника проводится для всех несостоятельных клиринговых участников.</w:t>
      </w:r>
    </w:p>
    <w:bookmarkEnd w:id="44"/>
    <w:bookmarkStart w:name="z54" w:id="45"/>
    <w:p>
      <w:pPr>
        <w:spacing w:after="0"/>
        <w:ind w:left="0"/>
        <w:jc w:val="both"/>
      </w:pPr>
      <w:r>
        <w:rPr>
          <w:rFonts w:ascii="Times New Roman"/>
          <w:b w:val="false"/>
          <w:i w:val="false"/>
          <w:color w:val="000000"/>
          <w:sz w:val="28"/>
        </w:rPr>
        <w:t>
      При осуществлении процедур по урегулированию факта полного или частичного неисполнения либо ненадлежащего исполнения обязательств клирингового участника порядок использования средств, составляющих гарантийный или резервный фонд клиринговой организации, определяется внутренними документами клиринговой организации.</w:t>
      </w:r>
    </w:p>
    <w:bookmarkEnd w:id="45"/>
    <w:bookmarkStart w:name="z55" w:id="46"/>
    <w:p>
      <w:pPr>
        <w:spacing w:after="0"/>
        <w:ind w:left="0"/>
        <w:jc w:val="both"/>
      </w:pPr>
      <w:r>
        <w:rPr>
          <w:rFonts w:ascii="Times New Roman"/>
          <w:b w:val="false"/>
          <w:i w:val="false"/>
          <w:color w:val="000000"/>
          <w:sz w:val="28"/>
        </w:rPr>
        <w:t>
      13. Все обязательства клирингового участника клиринговой организации по сделкам, заключенным до даты получения уведомления уполномоченного органа о приостановлении действия или лишении лицензии клирингового участника, подлежат исполнению на условиях и в порядке, установленных правилами клиринговой организации.</w:t>
      </w:r>
    </w:p>
    <w:bookmarkEnd w:id="46"/>
    <w:bookmarkStart w:name="z56" w:id="47"/>
    <w:p>
      <w:pPr>
        <w:spacing w:after="0"/>
        <w:ind w:left="0"/>
        <w:jc w:val="both"/>
      </w:pPr>
      <w:r>
        <w:rPr>
          <w:rFonts w:ascii="Times New Roman"/>
          <w:b w:val="false"/>
          <w:i w:val="false"/>
          <w:color w:val="000000"/>
          <w:sz w:val="28"/>
        </w:rPr>
        <w:t>
      14. Обязательства по сделкам прекращаются возникновением нетто-обязательств (нетто-требований) клирингового участника в отношении других клиринговых участников - его контрагентов по сделкам либо центрального контрагента. Размер указанных нетто-обязательств (нетто-требований) рассчитывается в соответствии с правилами клиринговой организации, и соответствующее уведомление о рассчитанной сумме направляется клиринговому участнику в форме электронного документа или с применением иных средств связи, включая программно-техническое обеспечение клиринговой организации.</w:t>
      </w:r>
    </w:p>
    <w:bookmarkEnd w:id="47"/>
    <w:bookmarkStart w:name="z57" w:id="48"/>
    <w:p>
      <w:pPr>
        <w:spacing w:after="0"/>
        <w:ind w:left="0"/>
        <w:jc w:val="both"/>
      </w:pPr>
      <w:r>
        <w:rPr>
          <w:rFonts w:ascii="Times New Roman"/>
          <w:b w:val="false"/>
          <w:i w:val="false"/>
          <w:color w:val="000000"/>
          <w:sz w:val="28"/>
        </w:rPr>
        <w:t>
      15. Клиринговая организация направляет клиринговому участнику, действие лицензии которого было приостановлено или прекращено, а также его контрагентам уведомление о прекращении обязательств и (или) замене обязательств на новые обязательства, возникшие в результате проведения процедур по урегулированию факта полного или частичного неисполнения либо ненадлежащего исполнения обязательств клирингового участника не позднее рабочего дня, следующего за датой прекращения обязательств и (или) замены обязательств на новые обязательства по этим сделкам.</w:t>
      </w:r>
    </w:p>
    <w:bookmarkEnd w:id="48"/>
    <w:bookmarkStart w:name="z58" w:id="49"/>
    <w:p>
      <w:pPr>
        <w:spacing w:after="0"/>
        <w:ind w:left="0"/>
        <w:jc w:val="both"/>
      </w:pPr>
      <w:r>
        <w:rPr>
          <w:rFonts w:ascii="Times New Roman"/>
          <w:b w:val="false"/>
          <w:i w:val="false"/>
          <w:color w:val="000000"/>
          <w:sz w:val="28"/>
        </w:rPr>
        <w:t>
      16. Возврат денег клиринговому участнику осуществляется клиринговой организацией в течение 3 (трех) рабочих дней после получения клиринговой организацией письма о возврате денег от клирингового участника, содержащего платежные реквизиты.</w:t>
      </w:r>
    </w:p>
    <w:bookmarkEnd w:id="49"/>
    <w:bookmarkStart w:name="z59" w:id="50"/>
    <w:p>
      <w:pPr>
        <w:spacing w:after="0"/>
        <w:ind w:left="0"/>
        <w:jc w:val="both"/>
      </w:pPr>
      <w:r>
        <w:rPr>
          <w:rFonts w:ascii="Times New Roman"/>
          <w:b w:val="false"/>
          <w:i w:val="false"/>
          <w:color w:val="000000"/>
          <w:sz w:val="28"/>
        </w:rPr>
        <w:t>
      Возврат денег клиринговому участнику осуществляется клиринговой организацией в порядке и на условиях, предусмотренных правилами клиринговой организации.</w:t>
      </w:r>
    </w:p>
    <w:bookmarkEnd w:id="50"/>
    <w:bookmarkStart w:name="z60" w:id="51"/>
    <w:p>
      <w:pPr>
        <w:spacing w:after="0"/>
        <w:ind w:left="0"/>
        <w:jc w:val="left"/>
      </w:pPr>
      <w:r>
        <w:rPr>
          <w:rFonts w:ascii="Times New Roman"/>
          <w:b/>
          <w:i w:val="false"/>
          <w:color w:val="000000"/>
        </w:rPr>
        <w:t xml:space="preserve"> Глава 3. Осуществление клиринга</w:t>
      </w:r>
    </w:p>
    <w:bookmarkEnd w:id="51"/>
    <w:bookmarkStart w:name="z61" w:id="52"/>
    <w:p>
      <w:pPr>
        <w:spacing w:after="0"/>
        <w:ind w:left="0"/>
        <w:jc w:val="both"/>
      </w:pPr>
      <w:r>
        <w:rPr>
          <w:rFonts w:ascii="Times New Roman"/>
          <w:b w:val="false"/>
          <w:i w:val="false"/>
          <w:color w:val="000000"/>
          <w:sz w:val="28"/>
        </w:rPr>
        <w:t>
      17. Клиринговая организация осуществляет сбор, обработку и хранение информации по сделкам, по которым данная клиринговая организация осуществляет клиринговое обслуживание, ее сверку, корректировку при наличии расхождений, изменение реквизитов сторон сделки или совершение иных действий при урегулировании дефолта по сделке на условиях и в порядке, определенных правилами клиринговой организации.</w:t>
      </w:r>
    </w:p>
    <w:bookmarkEnd w:id="52"/>
    <w:bookmarkStart w:name="z62" w:id="53"/>
    <w:p>
      <w:pPr>
        <w:spacing w:after="0"/>
        <w:ind w:left="0"/>
        <w:jc w:val="both"/>
      </w:pPr>
      <w:r>
        <w:rPr>
          <w:rFonts w:ascii="Times New Roman"/>
          <w:b w:val="false"/>
          <w:i w:val="false"/>
          <w:color w:val="000000"/>
          <w:sz w:val="28"/>
        </w:rPr>
        <w:t>
      Для осуществления клиринговой деятельности по сделкам с финансовыми инструментами клиринговая организация заключает договоры с расчетной организацией, организатором торгов и (или) товарной биржей, условия которых предусматривают порядок обмена информацией между сторонами договора и совершение согласованных процедур в процессе реализации сторонами договоров своих прав и обязанностей.</w:t>
      </w:r>
    </w:p>
    <w:bookmarkEnd w:id="53"/>
    <w:bookmarkStart w:name="z63" w:id="54"/>
    <w:p>
      <w:pPr>
        <w:spacing w:after="0"/>
        <w:ind w:left="0"/>
        <w:jc w:val="both"/>
      </w:pPr>
      <w:r>
        <w:rPr>
          <w:rFonts w:ascii="Times New Roman"/>
          <w:b w:val="false"/>
          <w:i w:val="false"/>
          <w:color w:val="000000"/>
          <w:sz w:val="28"/>
        </w:rPr>
        <w:t>
      18. Клиринговая организация осуществляет хранение информации и документов, связанных с клиринговой деятельностью, и ежедневное резервное копирование такой информации.</w:t>
      </w:r>
    </w:p>
    <w:bookmarkEnd w:id="54"/>
    <w:bookmarkStart w:name="z64" w:id="55"/>
    <w:p>
      <w:pPr>
        <w:spacing w:after="0"/>
        <w:ind w:left="0"/>
        <w:jc w:val="both"/>
      </w:pPr>
      <w:r>
        <w:rPr>
          <w:rFonts w:ascii="Times New Roman"/>
          <w:b w:val="false"/>
          <w:i w:val="false"/>
          <w:color w:val="000000"/>
          <w:sz w:val="28"/>
        </w:rPr>
        <w:t>
      Резервные копии подлежат защите от несанкционированного доступа к информации и хранятся в резервном техническом центре клиринговой организации до их замены обновленными резервными копиями.</w:t>
      </w:r>
    </w:p>
    <w:bookmarkEnd w:id="55"/>
    <w:bookmarkStart w:name="z65" w:id="56"/>
    <w:p>
      <w:pPr>
        <w:spacing w:after="0"/>
        <w:ind w:left="0"/>
        <w:jc w:val="both"/>
      </w:pPr>
      <w:r>
        <w:rPr>
          <w:rFonts w:ascii="Times New Roman"/>
          <w:b w:val="false"/>
          <w:i w:val="false"/>
          <w:color w:val="000000"/>
          <w:sz w:val="28"/>
        </w:rPr>
        <w:t>
      19. Клиринговая организация обеспечивает постоянную готовность резервного технического центра к немедленной активизации. Резервный технический центр соответствует следующим требованиям:</w:t>
      </w:r>
    </w:p>
    <w:bookmarkEnd w:id="56"/>
    <w:bookmarkStart w:name="z66" w:id="57"/>
    <w:p>
      <w:pPr>
        <w:spacing w:after="0"/>
        <w:ind w:left="0"/>
        <w:jc w:val="both"/>
      </w:pPr>
      <w:r>
        <w:rPr>
          <w:rFonts w:ascii="Times New Roman"/>
          <w:b w:val="false"/>
          <w:i w:val="false"/>
          <w:color w:val="000000"/>
          <w:sz w:val="28"/>
        </w:rPr>
        <w:t>
      1) содержит резервные копии информации, связанной с клиринговой деятельностью, идентичные основной информации;</w:t>
      </w:r>
    </w:p>
    <w:bookmarkEnd w:id="57"/>
    <w:bookmarkStart w:name="z67" w:id="58"/>
    <w:p>
      <w:pPr>
        <w:spacing w:after="0"/>
        <w:ind w:left="0"/>
        <w:jc w:val="both"/>
      </w:pPr>
      <w:r>
        <w:rPr>
          <w:rFonts w:ascii="Times New Roman"/>
          <w:b w:val="false"/>
          <w:i w:val="false"/>
          <w:color w:val="000000"/>
          <w:sz w:val="28"/>
        </w:rPr>
        <w:t>
      2) содержит копию программно-технического обеспечения клиринговой организации, используемого в процессе осуществления клиринговой деятельности по сделкам с финансовыми инструментами;</w:t>
      </w:r>
    </w:p>
    <w:bookmarkEnd w:id="58"/>
    <w:bookmarkStart w:name="z68" w:id="59"/>
    <w:p>
      <w:pPr>
        <w:spacing w:after="0"/>
        <w:ind w:left="0"/>
        <w:jc w:val="both"/>
      </w:pPr>
      <w:r>
        <w:rPr>
          <w:rFonts w:ascii="Times New Roman"/>
          <w:b w:val="false"/>
          <w:i w:val="false"/>
          <w:color w:val="000000"/>
          <w:sz w:val="28"/>
        </w:rPr>
        <w:t>
      3) располагается не менее чем в двадцати пяти километрах от места нахождения клиринговой организации;</w:t>
      </w:r>
    </w:p>
    <w:bookmarkEnd w:id="59"/>
    <w:bookmarkStart w:name="z69" w:id="60"/>
    <w:p>
      <w:pPr>
        <w:spacing w:after="0"/>
        <w:ind w:left="0"/>
        <w:jc w:val="both"/>
      </w:pPr>
      <w:r>
        <w:rPr>
          <w:rFonts w:ascii="Times New Roman"/>
          <w:b w:val="false"/>
          <w:i w:val="false"/>
          <w:color w:val="000000"/>
          <w:sz w:val="28"/>
        </w:rPr>
        <w:t>
      4) обеспечивается коммуникациями, необходимыми для осуществления деятельности клиринговой организации;</w:t>
      </w:r>
    </w:p>
    <w:bookmarkEnd w:id="60"/>
    <w:bookmarkStart w:name="z70" w:id="61"/>
    <w:p>
      <w:pPr>
        <w:spacing w:after="0"/>
        <w:ind w:left="0"/>
        <w:jc w:val="both"/>
      </w:pPr>
      <w:r>
        <w:rPr>
          <w:rFonts w:ascii="Times New Roman"/>
          <w:b w:val="false"/>
          <w:i w:val="false"/>
          <w:color w:val="000000"/>
          <w:sz w:val="28"/>
        </w:rPr>
        <w:t>
      5) при невозможности осуществления клиринга по месту нахождения клиринговой организации представляет возможность осуществления клиринга не позднее, чем на следующий рабочий день после возникновения данной ситуации.</w:t>
      </w:r>
    </w:p>
    <w:bookmarkEnd w:id="61"/>
    <w:bookmarkStart w:name="z71" w:id="62"/>
    <w:p>
      <w:pPr>
        <w:spacing w:after="0"/>
        <w:ind w:left="0"/>
        <w:jc w:val="both"/>
      </w:pPr>
      <w:r>
        <w:rPr>
          <w:rFonts w:ascii="Times New Roman"/>
          <w:b w:val="false"/>
          <w:i w:val="false"/>
          <w:color w:val="000000"/>
          <w:sz w:val="28"/>
        </w:rPr>
        <w:t>
      20. Допускается использование клиринговой организацией резервного центра центрального депозитария или фондовой биржи.</w:t>
      </w:r>
    </w:p>
    <w:bookmarkEnd w:id="62"/>
    <w:bookmarkStart w:name="z72" w:id="63"/>
    <w:p>
      <w:pPr>
        <w:spacing w:after="0"/>
        <w:ind w:left="0"/>
        <w:jc w:val="both"/>
      </w:pPr>
      <w:r>
        <w:rPr>
          <w:rFonts w:ascii="Times New Roman"/>
          <w:b w:val="false"/>
          <w:i w:val="false"/>
          <w:color w:val="000000"/>
          <w:sz w:val="28"/>
        </w:rPr>
        <w:t>
      21. В целях осуществления клиринга по сделкам клиринговых участников, заключенных в торговой системе организатора торгов и (или) на товарной бирже, клиринговая организация обеспечивает достоверный учет параметров таких сделок.</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постановления Правления Национального Банка РК от 07.10.2019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64"/>
    <w:p>
      <w:pPr>
        <w:spacing w:after="0"/>
        <w:ind w:left="0"/>
        <w:jc w:val="both"/>
      </w:pPr>
      <w:r>
        <w:rPr>
          <w:rFonts w:ascii="Times New Roman"/>
          <w:b w:val="false"/>
          <w:i w:val="false"/>
          <w:color w:val="000000"/>
          <w:sz w:val="28"/>
        </w:rPr>
        <w:t>
      22. Клиринговая организация осуществляет свою деятельность по уменьшению рисков участников за счет многосторонних взаимозачетов обязательств и требований, вытекающих из заключенных сделок.</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постановлением Правления Национального Банка РК от 07.10.2019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65"/>
    <w:p>
      <w:pPr>
        <w:spacing w:after="0"/>
        <w:ind w:left="0"/>
        <w:jc w:val="both"/>
      </w:pPr>
      <w:r>
        <w:rPr>
          <w:rFonts w:ascii="Times New Roman"/>
          <w:b w:val="false"/>
          <w:i w:val="false"/>
          <w:color w:val="000000"/>
          <w:sz w:val="28"/>
        </w:rPr>
        <w:t>
      24. Порядок и условия осуществления расчетов по сделкам с финансовыми инструментами, по которым осуществляется клиринговая деятельность, определяются правилами клиринговой организации.</w:t>
      </w:r>
    </w:p>
    <w:bookmarkEnd w:id="65"/>
    <w:p>
      <w:pPr>
        <w:spacing w:after="0"/>
        <w:ind w:left="0"/>
        <w:jc w:val="both"/>
      </w:pPr>
      <w:r>
        <w:rPr>
          <w:rFonts w:ascii="Times New Roman"/>
          <w:b w:val="false"/>
          <w:i w:val="false"/>
          <w:color w:val="000000"/>
          <w:sz w:val="28"/>
        </w:rPr>
        <w:t>
      Клиринговая организация для организации расчетов (платежей) по сделкам с производными финансовыми инструментами и (или) валютой открывает счета для учета финансовых инструментов в соответствии с требованиями внутренних документов клиринговой организации.</w:t>
      </w:r>
    </w:p>
    <w:p>
      <w:pPr>
        <w:spacing w:after="0"/>
        <w:ind w:left="0"/>
        <w:jc w:val="both"/>
      </w:pPr>
      <w:r>
        <w:rPr>
          <w:rFonts w:ascii="Times New Roman"/>
          <w:b w:val="false"/>
          <w:i w:val="false"/>
          <w:color w:val="000000"/>
          <w:sz w:val="28"/>
        </w:rPr>
        <w:t>
      Клиринговая организация, в целях совершения действий при урегулировании дефолта по сделке финансовыми инструментами, открывает счета для учета этих финансовых инструментов в расчетных организациях, в том числе в центральном депозитарии.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постановления Правления Национального Банка РК от 07.10.2019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66"/>
    <w:p>
      <w:pPr>
        <w:spacing w:after="0"/>
        <w:ind w:left="0"/>
        <w:jc w:val="both"/>
      </w:pPr>
      <w:r>
        <w:rPr>
          <w:rFonts w:ascii="Times New Roman"/>
          <w:b w:val="false"/>
          <w:i w:val="false"/>
          <w:color w:val="000000"/>
          <w:sz w:val="28"/>
        </w:rPr>
        <w:t>
      25. Требования и (или) обязательства клиринговых участников рассчитываются клиринговой организацией и передаются в расчетную организацию путем передачи приказа на проведение расчетов (платежей) одним из следующих способов:</w:t>
      </w:r>
    </w:p>
    <w:bookmarkEnd w:id="66"/>
    <w:bookmarkStart w:name="z80" w:id="67"/>
    <w:p>
      <w:pPr>
        <w:spacing w:after="0"/>
        <w:ind w:left="0"/>
        <w:jc w:val="both"/>
      </w:pPr>
      <w:r>
        <w:rPr>
          <w:rFonts w:ascii="Times New Roman"/>
          <w:b w:val="false"/>
          <w:i w:val="false"/>
          <w:color w:val="000000"/>
          <w:sz w:val="28"/>
        </w:rPr>
        <w:t>
      1) в режиме реального времени на основании каждой отдельной сделки без проведения взаимозачета требований и обязательств по другим сделкам клиринговых участников в порядке очередности их регистрации в торговой системе организатора торгов или на товарной бирже;</w:t>
      </w:r>
    </w:p>
    <w:bookmarkEnd w:id="67"/>
    <w:bookmarkStart w:name="z81" w:id="68"/>
    <w:p>
      <w:pPr>
        <w:spacing w:after="0"/>
        <w:ind w:left="0"/>
        <w:jc w:val="both"/>
      </w:pPr>
      <w:r>
        <w:rPr>
          <w:rFonts w:ascii="Times New Roman"/>
          <w:b w:val="false"/>
          <w:i w:val="false"/>
          <w:color w:val="000000"/>
          <w:sz w:val="28"/>
        </w:rPr>
        <w:t>
      2) по итогам торговой сессии, по окончании которой осуществляется взаимозачет требований и обязательств клиринговых участников и определяются их чистые позиции после проведения клиринговой сессии.</w:t>
      </w:r>
    </w:p>
    <w:bookmarkEnd w:id="68"/>
    <w:bookmarkStart w:name="z82" w:id="69"/>
    <w:p>
      <w:pPr>
        <w:spacing w:after="0"/>
        <w:ind w:left="0"/>
        <w:jc w:val="both"/>
      </w:pPr>
      <w:r>
        <w:rPr>
          <w:rFonts w:ascii="Times New Roman"/>
          <w:b w:val="false"/>
          <w:i w:val="false"/>
          <w:color w:val="000000"/>
          <w:sz w:val="28"/>
        </w:rPr>
        <w:t>
      26. Клиринговая организация формирует отчет по результатам клиринговой деятельности для клиринговых участников в порядке и сроки, определенные правилами клиринговой организации.</w:t>
      </w:r>
    </w:p>
    <w:bookmarkEnd w:id="69"/>
    <w:bookmarkStart w:name="z83" w:id="70"/>
    <w:p>
      <w:pPr>
        <w:spacing w:after="0"/>
        <w:ind w:left="0"/>
        <w:jc w:val="both"/>
      </w:pPr>
      <w:r>
        <w:rPr>
          <w:rFonts w:ascii="Times New Roman"/>
          <w:b w:val="false"/>
          <w:i w:val="false"/>
          <w:color w:val="000000"/>
          <w:sz w:val="28"/>
        </w:rPr>
        <w:t>
      27. Расчетная организация на основании полученных приказов осуществляет расчеты (платежи) и уведомляет об этом клиринговую организацию.</w:t>
      </w:r>
    </w:p>
    <w:bookmarkEnd w:id="70"/>
    <w:bookmarkStart w:name="z84" w:id="71"/>
    <w:p>
      <w:pPr>
        <w:spacing w:after="0"/>
        <w:ind w:left="0"/>
        <w:jc w:val="left"/>
      </w:pPr>
      <w:r>
        <w:rPr>
          <w:rFonts w:ascii="Times New Roman"/>
          <w:b/>
          <w:i w:val="false"/>
          <w:color w:val="000000"/>
        </w:rPr>
        <w:t xml:space="preserve"> Глава 4. Раскрытие информации о деятельности клиринговой организации</w:t>
      </w:r>
    </w:p>
    <w:bookmarkEnd w:id="71"/>
    <w:bookmarkStart w:name="z85" w:id="72"/>
    <w:p>
      <w:pPr>
        <w:spacing w:after="0"/>
        <w:ind w:left="0"/>
        <w:jc w:val="both"/>
      </w:pPr>
      <w:r>
        <w:rPr>
          <w:rFonts w:ascii="Times New Roman"/>
          <w:b w:val="false"/>
          <w:i w:val="false"/>
          <w:color w:val="000000"/>
          <w:sz w:val="28"/>
        </w:rPr>
        <w:t>
      28. Клиринговая организация обеспечивает раскрытие информации о своей деятельности и свободный доступ к ознакомлению с информацией, не составляющей коммерческую тайну на рынке ценных бумаг, всем заинтересованным лицам путем публикации (размещения) на постоянной основе указанной информации на своем интернет-ресурсе на казахском и русском языках.</w:t>
      </w:r>
    </w:p>
    <w:bookmarkEnd w:id="72"/>
    <w:bookmarkStart w:name="z86" w:id="73"/>
    <w:p>
      <w:pPr>
        <w:spacing w:after="0"/>
        <w:ind w:left="0"/>
        <w:jc w:val="both"/>
      </w:pPr>
      <w:r>
        <w:rPr>
          <w:rFonts w:ascii="Times New Roman"/>
          <w:b w:val="false"/>
          <w:i w:val="false"/>
          <w:color w:val="000000"/>
          <w:sz w:val="28"/>
        </w:rPr>
        <w:t>
      29. На интернет-ресурсе клиринговой организации раскрывается следующая информация:</w:t>
      </w:r>
    </w:p>
    <w:bookmarkEnd w:id="73"/>
    <w:bookmarkStart w:name="z87" w:id="74"/>
    <w:p>
      <w:pPr>
        <w:spacing w:after="0"/>
        <w:ind w:left="0"/>
        <w:jc w:val="both"/>
      </w:pPr>
      <w:r>
        <w:rPr>
          <w:rFonts w:ascii="Times New Roman"/>
          <w:b w:val="false"/>
          <w:i w:val="false"/>
          <w:color w:val="000000"/>
          <w:sz w:val="28"/>
        </w:rPr>
        <w:t>
      1) общая информация о клиринговой организации (состав органов клиринговой организации, фамилия, имя, отчество (при его наличии) руководящих работников клиринговой организации, место нахождения, контактные телефоны);</w:t>
      </w:r>
    </w:p>
    <w:bookmarkEnd w:id="74"/>
    <w:bookmarkStart w:name="z88" w:id="75"/>
    <w:p>
      <w:pPr>
        <w:spacing w:after="0"/>
        <w:ind w:left="0"/>
        <w:jc w:val="both"/>
      </w:pPr>
      <w:r>
        <w:rPr>
          <w:rFonts w:ascii="Times New Roman"/>
          <w:b w:val="false"/>
          <w:i w:val="false"/>
          <w:color w:val="000000"/>
          <w:sz w:val="28"/>
        </w:rPr>
        <w:t>
      2) учредительные документы;</w:t>
      </w:r>
    </w:p>
    <w:bookmarkEnd w:id="75"/>
    <w:bookmarkStart w:name="z89" w:id="76"/>
    <w:p>
      <w:pPr>
        <w:spacing w:after="0"/>
        <w:ind w:left="0"/>
        <w:jc w:val="both"/>
      </w:pPr>
      <w:r>
        <w:rPr>
          <w:rFonts w:ascii="Times New Roman"/>
          <w:b w:val="false"/>
          <w:i w:val="false"/>
          <w:color w:val="000000"/>
          <w:sz w:val="28"/>
        </w:rPr>
        <w:t>
      3) правила клиринговой организации;</w:t>
      </w:r>
    </w:p>
    <w:bookmarkEnd w:id="76"/>
    <w:bookmarkStart w:name="z90" w:id="77"/>
    <w:p>
      <w:pPr>
        <w:spacing w:after="0"/>
        <w:ind w:left="0"/>
        <w:jc w:val="both"/>
      </w:pPr>
      <w:r>
        <w:rPr>
          <w:rFonts w:ascii="Times New Roman"/>
          <w:b w:val="false"/>
          <w:i w:val="false"/>
          <w:color w:val="000000"/>
          <w:sz w:val="28"/>
        </w:rPr>
        <w:t>
      4) правила инвестирования маржевых взносов и денег, входящих в состав гарантийных или резервных фондов клиринговой организации и иного обеспечения клиринговых участников;</w:t>
      </w:r>
    </w:p>
    <w:bookmarkEnd w:id="77"/>
    <w:bookmarkStart w:name="z91" w:id="78"/>
    <w:p>
      <w:pPr>
        <w:spacing w:after="0"/>
        <w:ind w:left="0"/>
        <w:jc w:val="both"/>
      </w:pPr>
      <w:r>
        <w:rPr>
          <w:rFonts w:ascii="Times New Roman"/>
          <w:b w:val="false"/>
          <w:i w:val="false"/>
          <w:color w:val="000000"/>
          <w:sz w:val="28"/>
        </w:rPr>
        <w:t>
      5) информация о клиринговых участниках с указанием наименования клирингового участника, даты и номера лицензии, выданной уполномоченным органом, даты присвоения, приостановления действия, лишения статуса клирингового участника, основания приостановления действия, лишения статуса клирингового участника;</w:t>
      </w:r>
    </w:p>
    <w:bookmarkEnd w:id="78"/>
    <w:bookmarkStart w:name="z92" w:id="79"/>
    <w:p>
      <w:pPr>
        <w:spacing w:after="0"/>
        <w:ind w:left="0"/>
        <w:jc w:val="both"/>
      </w:pPr>
      <w:r>
        <w:rPr>
          <w:rFonts w:ascii="Times New Roman"/>
          <w:b w:val="false"/>
          <w:i w:val="false"/>
          <w:color w:val="000000"/>
          <w:sz w:val="28"/>
        </w:rPr>
        <w:t>
      6) результаты инвестирования маржевых взносов и денег, входящих в состав гарантийных или резервных фондов клиринговой организации и иного обеспечения клиринговых участников, на ежегодной основе;</w:t>
      </w:r>
    </w:p>
    <w:bookmarkEnd w:id="79"/>
    <w:bookmarkStart w:name="z93" w:id="80"/>
    <w:p>
      <w:pPr>
        <w:spacing w:after="0"/>
        <w:ind w:left="0"/>
        <w:jc w:val="both"/>
      </w:pPr>
      <w:r>
        <w:rPr>
          <w:rFonts w:ascii="Times New Roman"/>
          <w:b w:val="false"/>
          <w:i w:val="false"/>
          <w:color w:val="000000"/>
          <w:sz w:val="28"/>
        </w:rPr>
        <w:t>
      7) наименование организаторов торгов и (или) товарных бирж и иных субъектов, обслуживаемых клиринговой организацией, с указанием рынков, видов финансовых инструментов и сделок (методов торгов), принимаемых на обслуживание клиринговой организацией;</w:t>
      </w:r>
    </w:p>
    <w:bookmarkEnd w:id="80"/>
    <w:bookmarkStart w:name="z94" w:id="81"/>
    <w:p>
      <w:pPr>
        <w:spacing w:after="0"/>
        <w:ind w:left="0"/>
        <w:jc w:val="both"/>
      </w:pPr>
      <w:r>
        <w:rPr>
          <w:rFonts w:ascii="Times New Roman"/>
          <w:b w:val="false"/>
          <w:i w:val="false"/>
          <w:color w:val="000000"/>
          <w:sz w:val="28"/>
        </w:rPr>
        <w:t>
      8) наименование расчетных организаций;</w:t>
      </w:r>
    </w:p>
    <w:bookmarkEnd w:id="81"/>
    <w:bookmarkStart w:name="z95" w:id="82"/>
    <w:p>
      <w:pPr>
        <w:spacing w:after="0"/>
        <w:ind w:left="0"/>
        <w:jc w:val="both"/>
      </w:pPr>
      <w:r>
        <w:rPr>
          <w:rFonts w:ascii="Times New Roman"/>
          <w:b w:val="false"/>
          <w:i w:val="false"/>
          <w:color w:val="000000"/>
          <w:sz w:val="28"/>
        </w:rPr>
        <w:t>
      9) информация, подлежащая раскрытию в соответствии с законодательством</w:t>
      </w:r>
      <w:r>
        <w:rPr>
          <w:rFonts w:ascii="Times New Roman"/>
          <w:b w:val="false"/>
          <w:i w:val="false"/>
          <w:color w:val="000000"/>
          <w:sz w:val="28"/>
        </w:rPr>
        <w:t xml:space="preserve"> Республики Казахстан</w:t>
      </w:r>
      <w:r>
        <w:rPr>
          <w:rFonts w:ascii="Times New Roman"/>
          <w:b w:val="false"/>
          <w:i w:val="false"/>
          <w:color w:val="000000"/>
          <w:sz w:val="28"/>
        </w:rPr>
        <w:t xml:space="preserve"> о рынке ценных бумаг, об акционерных обществах и правилами клиринговой организации.</w:t>
      </w:r>
    </w:p>
    <w:bookmarkEnd w:id="82"/>
    <w:bookmarkStart w:name="z96" w:id="83"/>
    <w:p>
      <w:pPr>
        <w:spacing w:after="0"/>
        <w:ind w:left="0"/>
        <w:jc w:val="both"/>
      </w:pPr>
      <w:r>
        <w:rPr>
          <w:rFonts w:ascii="Times New Roman"/>
          <w:b w:val="false"/>
          <w:i w:val="false"/>
          <w:color w:val="000000"/>
          <w:sz w:val="28"/>
        </w:rPr>
        <w:t>
      Внутренними документами клиринговой организации определяются правила инвестирования маржевых взносов и денег, входящих в состав гарантийных или резервных фондов клиринговой организации и иного обеспечения клиринговых участников.</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254</w:t>
            </w:r>
          </w:p>
        </w:tc>
      </w:tr>
    </w:tbl>
    <w:bookmarkStart w:name="z98" w:id="84"/>
    <w:p>
      <w:pPr>
        <w:spacing w:after="0"/>
        <w:ind w:left="0"/>
        <w:jc w:val="left"/>
      </w:pPr>
      <w:r>
        <w:rPr>
          <w:rFonts w:ascii="Times New Roman"/>
          <w:b/>
          <w:i w:val="false"/>
          <w:color w:val="000000"/>
        </w:rPr>
        <w:t xml:space="preserve"> Перечень нормативных правовых актов Республики Казахстан, а также структурных элементов некоторых нормативных правовых актов Республики Казахстан, признаваемых утратившими силу</w:t>
      </w:r>
    </w:p>
    <w:bookmarkEnd w:id="84"/>
    <w:bookmarkStart w:name="z99" w:id="8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58 "Об утверждении Правил осуществления клиринговой деятельности по сделкам с финансовыми инструментами" (зарегистрировано в Реестре государственной регистрации нормативных правовых актов под № 7555, опубликовано 23 июня 2012 года в газете "Казахстанская правда" №199-200 (27018-27019).</w:t>
      </w:r>
    </w:p>
    <w:bookmarkEnd w:id="85"/>
    <w:bookmarkStart w:name="z100" w:id="8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постановления Правления Национального Банка Республики Казахстан от 4 июля 2012 года № 205 "О внесении изменений и дополнений в некоторые нормативные правовые акты Республики Казахстан по вопросам клиринговой деятельности с финансовыми инструментами" (зарегистрировано в Реестре государственной регистрации нормативных правовых актов под № 7870, опубликовано 31 октября 2012 года в газете "Казахстанская правда" №375-376 (27194-27195).</w:t>
      </w:r>
    </w:p>
    <w:bookmarkEnd w:id="86"/>
    <w:bookmarkStart w:name="z101" w:id="8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5</w:t>
      </w:r>
      <w:r>
        <w:rPr>
          <w:rFonts w:ascii="Times New Roman"/>
          <w:b w:val="false"/>
          <w:i w:val="false"/>
          <w:color w:val="000000"/>
          <w:sz w:val="28"/>
        </w:rPr>
        <w:t xml:space="preserve"> Перечня нормативных правовых актов Республики Казахстан по вопросам деятельности организатора торгов, в которые вносятся изменения и дополнения, утвержденного постановлением Правления Национального Банка Республики Казахстан от 27 мая 2014 года № 98 "О внесении изменений и дополнений в некоторые нормативные правовые акты Республики Казахстан по вопросам деятельности организатора торгов" (зарегистрировано в Реестре государственной регистрации нормативных правовых актов под № 9621, опубликовано 11 августа 2014 года в информационно-правовой системе "Әділет").</w:t>
      </w:r>
    </w:p>
    <w:bookmarkEnd w:id="87"/>
    <w:bookmarkStart w:name="z102" w:id="8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января 2016 года № 10 "Об утверждении Правил осуществления деятельности центрального контрагента" (зарегистрированное в Реестре государственной регистрации нормативных правовых актов под № 13297, опубликовано 14 марта 2016 года в информационно-правовой системе "Әділет").</w:t>
      </w:r>
    </w:p>
    <w:bookmarkEnd w:id="88"/>
    <w:bookmarkStart w:name="z103" w:id="8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4</w:t>
      </w:r>
      <w:r>
        <w:rPr>
          <w:rFonts w:ascii="Times New Roman"/>
          <w:b w:val="false"/>
          <w:i w:val="false"/>
          <w:color w:val="000000"/>
          <w:sz w:val="28"/>
        </w:rPr>
        <w:t xml:space="preserve"> Перечня нормативных правовых актов Республики Казахстан по вопросам финансового рынка и финансовых организаций, в которые вносятся изменения и дополнения, утвержденного постановлением Правления Национального Банка Республики Казахстан от 28 января 2016 года № 12 "О внесении изменений и дополнений в некоторые нормативные правовые акты Республики Казахстан по вопросам финансового рынка и финансовых организаций" (зарегистрировано в Реестре государственной регистрации нормативных правовых актов под № 13308, опубликовано 14 марта 2016 года в информационно-правовой системе "Әділет").</w:t>
      </w:r>
    </w:p>
    <w:bookmarkEnd w:id="89"/>
    <w:bookmarkStart w:name="z104" w:id="9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мая 2016 года № 146 "О внесении изменений и дополнения в некоторые нормативные правовые акты Республики Казахстан по вопросам сокращения разрешительных документов и упрощения разрешительных процедур" (зарегистрировано в Реестре государственной регистрации нормативных правовых актов под № 14208, опубликовано 5 октября 2016 года в информационно-правовой системе "Әділет").</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