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14c2" w14:textId="f5c1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по инвестициям и развитию Республики Казахстан от 23 декабря 2015 года № 1222 и Министра национальной экономики Республики Казахстан от 26 декабря 2015 года № 796 "Об утверждении критериев оценки степени риска и проверочного листа в области изучения и использования недр"</w:t>
      </w:r>
    </w:p>
    <w:p>
      <w:pPr>
        <w:spacing w:after="0"/>
        <w:ind w:left="0"/>
        <w:jc w:val="both"/>
      </w:pPr>
      <w:r>
        <w:rPr>
          <w:rFonts w:ascii="Times New Roman"/>
          <w:b w:val="false"/>
          <w:i w:val="false"/>
          <w:color w:val="000000"/>
          <w:sz w:val="28"/>
        </w:rPr>
        <w:t>Совместный приказ Министра по инвестициям и развитию Республики Казахстан от 9 ноября 2018 года № 779 и Министра национальной экономики Республики Казахстан от 10 ноября 2018 года № 63. Зарегистрирован в Министерстве юстиции Республики Казахстан 28 ноября 2018 года № 17808</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по инвестициям и развитию Республики Казахстан от 23 декабря 2015 года № 1222 и Министра национальной экономики Республики Казахстан от 26 декабря 2015 года № 796 "Об утверждении критериев оценки степени риска и проверочного листа в области изучения и использования недр" (зарегистрирован в Реестре государственной регистрации нормативных правовых актах за № 12699, опубликован 23 февраля 2016 года в информационно-правовой системе "Әділет")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критерии</w:t>
      </w:r>
      <w:r>
        <w:rPr>
          <w:rFonts w:ascii="Times New Roman"/>
          <w:b w:val="false"/>
          <w:i w:val="false"/>
          <w:color w:val="000000"/>
          <w:sz w:val="28"/>
        </w:rPr>
        <w:t xml:space="preserve"> оценки степени риска в области изучения и использования недр, согласно приложению 1 к настоящему совместному приказу;</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проверочный лист</w:t>
      </w:r>
      <w:r>
        <w:rPr>
          <w:rFonts w:ascii="Times New Roman"/>
          <w:b w:val="false"/>
          <w:i w:val="false"/>
          <w:color w:val="000000"/>
          <w:sz w:val="28"/>
        </w:rPr>
        <w:t xml:space="preserve"> в области изучения и использования недр в отношении недропользователей, осуществляющих геологическое изучение недр, согласно приложению 2 к настоящему совместному приказу;</w:t>
      </w:r>
    </w:p>
    <w:bookmarkEnd w:id="4"/>
    <w:bookmarkStart w:name="z10" w:id="5"/>
    <w:p>
      <w:pPr>
        <w:spacing w:after="0"/>
        <w:ind w:left="0"/>
        <w:jc w:val="both"/>
      </w:pPr>
      <w:r>
        <w:rPr>
          <w:rFonts w:ascii="Times New Roman"/>
          <w:b w:val="false"/>
          <w:i w:val="false"/>
          <w:color w:val="000000"/>
          <w:sz w:val="28"/>
        </w:rPr>
        <w:t>
      3) проверочный лист в области изучения и использования недр в отношении недропользователей, осуществляющих разведку твердых полезных ископаемых, согласно приложению 3 к настоящему совместному приказу;</w:t>
      </w:r>
    </w:p>
    <w:bookmarkEnd w:id="5"/>
    <w:bookmarkStart w:name="z11" w:id="6"/>
    <w:p>
      <w:pPr>
        <w:spacing w:after="0"/>
        <w:ind w:left="0"/>
        <w:jc w:val="both"/>
      </w:pPr>
      <w:r>
        <w:rPr>
          <w:rFonts w:ascii="Times New Roman"/>
          <w:b w:val="false"/>
          <w:i w:val="false"/>
          <w:color w:val="000000"/>
          <w:sz w:val="28"/>
        </w:rPr>
        <w:t>
      4) проверочный лист в области изучения и использования недр в отношении недропользователей, осуществляющих добычу общераспространенных и твердых полезных ископаемых, за исключением урана, согласно приложению 4 к настоящему совместному приказу;</w:t>
      </w:r>
    </w:p>
    <w:bookmarkEnd w:id="6"/>
    <w:bookmarkStart w:name="z12" w:id="7"/>
    <w:p>
      <w:pPr>
        <w:spacing w:after="0"/>
        <w:ind w:left="0"/>
        <w:jc w:val="both"/>
      </w:pPr>
      <w:r>
        <w:rPr>
          <w:rFonts w:ascii="Times New Roman"/>
          <w:b w:val="false"/>
          <w:i w:val="false"/>
          <w:color w:val="000000"/>
          <w:sz w:val="28"/>
        </w:rPr>
        <w:t>
      5) проверочный лист в области изучения и использования недр в отношении недропользователей, осуществляющих использование пространства недр, согласно приложению 5 к настоящему совместному приказу;</w:t>
      </w:r>
    </w:p>
    <w:bookmarkEnd w:id="7"/>
    <w:bookmarkStart w:name="z13" w:id="8"/>
    <w:p>
      <w:pPr>
        <w:spacing w:after="0"/>
        <w:ind w:left="0"/>
        <w:jc w:val="both"/>
      </w:pPr>
      <w:r>
        <w:rPr>
          <w:rFonts w:ascii="Times New Roman"/>
          <w:b w:val="false"/>
          <w:i w:val="false"/>
          <w:color w:val="000000"/>
          <w:sz w:val="28"/>
        </w:rPr>
        <w:t>
      6) проверочный лист в области изучения и использования недр в отношении недропользователей, осуществляющих старательство, согласно приложению 6 к настоящему совместному приказу;</w:t>
      </w:r>
    </w:p>
    <w:bookmarkEnd w:id="8"/>
    <w:bookmarkStart w:name="z14" w:id="9"/>
    <w:p>
      <w:pPr>
        <w:spacing w:after="0"/>
        <w:ind w:left="0"/>
        <w:jc w:val="both"/>
      </w:pPr>
      <w:r>
        <w:rPr>
          <w:rFonts w:ascii="Times New Roman"/>
          <w:b w:val="false"/>
          <w:i w:val="false"/>
          <w:color w:val="000000"/>
          <w:sz w:val="28"/>
        </w:rPr>
        <w:t>
      7) проверочный лист в области изучения и использования недр в отношении недропользователей, осуществляющих учет, хранение, обеспечение сохранности и достоверности геологической информации, согласно приложению 7 к настоящему совместному приказу";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совместному приказу;</w:t>
      </w:r>
    </w:p>
    <w:bookmarkStart w:name="z16" w:id="10"/>
    <w:p>
      <w:pPr>
        <w:spacing w:after="0"/>
        <w:ind w:left="0"/>
        <w:jc w:val="both"/>
      </w:pPr>
      <w:r>
        <w:rPr>
          <w:rFonts w:ascii="Times New Roman"/>
          <w:b w:val="false"/>
          <w:i w:val="false"/>
          <w:color w:val="000000"/>
          <w:sz w:val="28"/>
        </w:rPr>
        <w:t xml:space="preserve">
      дополнить приложениями 3, 4, 5, 6, 7 к указанному совместному приказу в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настоящему совместному приказу.</w:t>
      </w:r>
    </w:p>
    <w:bookmarkEnd w:id="10"/>
    <w:bookmarkStart w:name="z17" w:id="11"/>
    <w:p>
      <w:pPr>
        <w:spacing w:after="0"/>
        <w:ind w:left="0"/>
        <w:jc w:val="both"/>
      </w:pPr>
      <w:r>
        <w:rPr>
          <w:rFonts w:ascii="Times New Roman"/>
          <w:b w:val="false"/>
          <w:i w:val="false"/>
          <w:color w:val="000000"/>
          <w:sz w:val="28"/>
        </w:rPr>
        <w:t>
      2. Комитету геологии и недропользования Министерства по инвестициям и развитию Республики Казахстан обеспечить в установленном законодательством порядке:</w:t>
      </w:r>
    </w:p>
    <w:bookmarkEnd w:id="11"/>
    <w:bookmarkStart w:name="z18" w:id="12"/>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2"/>
    <w:bookmarkStart w:name="z19" w:id="1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3"/>
    <w:bookmarkStart w:name="z20" w:id="14"/>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по инвестициям и развитию Республики Казахстан;</w:t>
      </w:r>
    </w:p>
    <w:bookmarkEnd w:id="14"/>
    <w:bookmarkStart w:name="z21" w:id="1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15"/>
    <w:bookmarkStart w:name="z22" w:id="1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по инвестициям и развитию Республики Казахстан.</w:t>
      </w:r>
    </w:p>
    <w:bookmarkEnd w:id="16"/>
    <w:bookmarkStart w:name="z23" w:id="17"/>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Pr>
      <w:tblGrid>
        <w:gridCol w:w="7838"/>
        <w:gridCol w:w="4162"/>
      </w:tblGrid>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r>
              <w:br/>
            </w:r>
            <w:r>
              <w:rPr>
                <w:rFonts w:ascii="Times New Roman"/>
                <w:b w:val="false"/>
                <w:i/>
                <w:color w:val="000000"/>
                <w:sz w:val="20"/>
              </w:rPr>
              <w:t xml:space="preserve">Республики Казахстан </w:t>
            </w:r>
            <w:r>
              <w:br/>
            </w:r>
            <w:r>
              <w:rPr>
                <w:rFonts w:ascii="Times New Roman"/>
                <w:b w:val="false"/>
                <w:i/>
                <w:color w:val="000000"/>
                <w:sz w:val="20"/>
              </w:rPr>
              <w:t>________________________</w:t>
            </w:r>
            <w:r>
              <w:rPr>
                <w:rFonts w:ascii="Times New Roman"/>
                <w:b w:val="false"/>
                <w:i w:val="false"/>
                <w:color w:val="000000"/>
                <w:sz w:val="20"/>
              </w:rPr>
              <w:t>
</w:t>
            </w:r>
          </w:p>
        </w:tc>
        <w:tc>
          <w:tcPr>
            <w:tcW w:w="416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br/>
            </w:r>
            <w:r>
              <w:rPr>
                <w:rFonts w:ascii="Times New Roman"/>
                <w:b w:val="false"/>
                <w:i/>
                <w:color w:val="000000"/>
                <w:sz w:val="20"/>
              </w:rPr>
              <w:t>________________________</w:t>
            </w:r>
            <w:r>
              <w:rPr>
                <w:rFonts w:ascii="Times New Roman"/>
                <w:b w:val="false"/>
                <w:i w:val="false"/>
                <w:color w:val="000000"/>
                <w:sz w:val="20"/>
              </w:rPr>
              <w:t>
</w:t>
            </w:r>
          </w:p>
        </w:tc>
        <w:tc>
          <w:tcPr>
            <w:tcW w:w="416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26" w:id="1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по правовой статистике</w:t>
      </w:r>
      <w:r>
        <w:br/>
      </w:r>
      <w:r>
        <w:rPr>
          <w:rFonts w:ascii="Times New Roman"/>
          <w:b w:val="false"/>
          <w:i w:val="false"/>
          <w:color w:val="000000"/>
          <w:sz w:val="28"/>
        </w:rPr>
        <w:t>и специальным учетам</w:t>
      </w:r>
      <w:r>
        <w:br/>
      </w:r>
      <w:r>
        <w:rPr>
          <w:rFonts w:ascii="Times New Roman"/>
          <w:b w:val="false"/>
          <w:i w:val="false"/>
          <w:color w:val="000000"/>
          <w:sz w:val="28"/>
        </w:rPr>
        <w:t>Генеральной прокуратуры</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"___"____________2018 года</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9 ноября 2018 года № 779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2018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23 декабря 2015 года № 1222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2015 года № 796</w:t>
            </w:r>
          </w:p>
        </w:tc>
      </w:tr>
    </w:tbl>
    <w:bookmarkStart w:name="z29" w:id="19"/>
    <w:p>
      <w:pPr>
        <w:spacing w:after="0"/>
        <w:ind w:left="0"/>
        <w:jc w:val="left"/>
      </w:pPr>
      <w:r>
        <w:rPr>
          <w:rFonts w:ascii="Times New Roman"/>
          <w:b/>
          <w:i w:val="false"/>
          <w:color w:val="000000"/>
        </w:rPr>
        <w:t xml:space="preserve"> Критерии оценки степени риска в области изучения и использования недр</w:t>
      </w:r>
    </w:p>
    <w:bookmarkEnd w:id="19"/>
    <w:bookmarkStart w:name="z30" w:id="20"/>
    <w:p>
      <w:pPr>
        <w:spacing w:after="0"/>
        <w:ind w:left="0"/>
        <w:jc w:val="left"/>
      </w:pPr>
      <w:r>
        <w:rPr>
          <w:rFonts w:ascii="Times New Roman"/>
          <w:b/>
          <w:i w:val="false"/>
          <w:color w:val="000000"/>
        </w:rPr>
        <w:t xml:space="preserve"> Глава 1. Общие положения</w:t>
      </w:r>
    </w:p>
    <w:bookmarkEnd w:id="20"/>
    <w:bookmarkStart w:name="z31" w:id="21"/>
    <w:p>
      <w:pPr>
        <w:spacing w:after="0"/>
        <w:ind w:left="0"/>
        <w:jc w:val="both"/>
      </w:pPr>
      <w:r>
        <w:rPr>
          <w:rFonts w:ascii="Times New Roman"/>
          <w:b w:val="false"/>
          <w:i w:val="false"/>
          <w:color w:val="000000"/>
          <w:sz w:val="28"/>
        </w:rPr>
        <w:t xml:space="preserve">
      1. Настоящие Критерии оценки степени риска в области изучения и использования недр (далее – Критерии)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и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актах за № 17371, опубликован 14 сентября 2018 года в информационно-правовой системе "Әділет") для отнесения уполномоченными органами по твердым полезным ископаемым, изучению недр и местными исполнительными органами областей, городов республиканского значения, столицы субъектов, осуществляющих деятельность в области изучения и использования недр, по степеням риска.</w:t>
      </w:r>
    </w:p>
    <w:bookmarkEnd w:id="21"/>
    <w:bookmarkStart w:name="z32" w:id="22"/>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22"/>
    <w:bookmarkStart w:name="z33" w:id="23"/>
    <w:p>
      <w:pPr>
        <w:spacing w:after="0"/>
        <w:ind w:left="0"/>
        <w:jc w:val="both"/>
      </w:pPr>
      <w:r>
        <w:rPr>
          <w:rFonts w:ascii="Times New Roman"/>
          <w:b w:val="false"/>
          <w:i w:val="false"/>
          <w:color w:val="000000"/>
          <w:sz w:val="28"/>
        </w:rPr>
        <w:t>
      1) риск в области изучения и использования недр – вероятность причинения вреда состоянию недр, минерально-сырьевой базе, сохранности и достоверности геологической информации в результате деятельности субъектов контроля в области изучения и использования недр с учетом тяжести его последствий;</w:t>
      </w:r>
    </w:p>
    <w:bookmarkEnd w:id="23"/>
    <w:bookmarkStart w:name="z34" w:id="24"/>
    <w:p>
      <w:pPr>
        <w:spacing w:after="0"/>
        <w:ind w:left="0"/>
        <w:jc w:val="both"/>
      </w:pPr>
      <w:r>
        <w:rPr>
          <w:rFonts w:ascii="Times New Roman"/>
          <w:b w:val="false"/>
          <w:i w:val="false"/>
          <w:color w:val="000000"/>
          <w:sz w:val="28"/>
        </w:rPr>
        <w:t>
      2) субъекты контроля в области изучения и использования недр (далее – субъекты контроля) – субъекты, осуществляющие деятельность по разведке твердых полезных ископаемых, добыче общераспространенных и твердых полезных ископаемых, за исключением операций по добыче урана, по геологическому изучению, а также использованию пространства недр, старательства, по учету, хранению, обеспечению сохранности и достоверности геологической информации (недропрользователи);</w:t>
      </w:r>
    </w:p>
    <w:bookmarkEnd w:id="24"/>
    <w:bookmarkStart w:name="z35" w:id="25"/>
    <w:p>
      <w:pPr>
        <w:spacing w:after="0"/>
        <w:ind w:left="0"/>
        <w:jc w:val="both"/>
      </w:pPr>
      <w:r>
        <w:rPr>
          <w:rFonts w:ascii="Times New Roman"/>
          <w:b w:val="false"/>
          <w:i w:val="false"/>
          <w:color w:val="000000"/>
          <w:sz w:val="28"/>
        </w:rPr>
        <w:t>
      3) объективные критерии оценки степени риска (далее – объективные критерии) – критерии оценки степени риска, используемые для отбора субъектов контроля в зависимости от степени риска в определенной сфере деятельности и не зависящие непосредственно от отдельного субъекта контроля;</w:t>
      </w:r>
    </w:p>
    <w:bookmarkEnd w:id="25"/>
    <w:bookmarkStart w:name="z36" w:id="26"/>
    <w:p>
      <w:pPr>
        <w:spacing w:after="0"/>
        <w:ind w:left="0"/>
        <w:jc w:val="both"/>
      </w:pPr>
      <w:r>
        <w:rPr>
          <w:rFonts w:ascii="Times New Roman"/>
          <w:b w:val="false"/>
          <w:i w:val="false"/>
          <w:color w:val="000000"/>
          <w:sz w:val="28"/>
        </w:rPr>
        <w:t>
      4) субъективные критерии оценки степени риска (далее – субъективные критерии) – критерии оценки степени риска, используемые для отбора субъектов контроля в зависимости от результатов деятельности конкретного субъекта контроля;</w:t>
      </w:r>
    </w:p>
    <w:bookmarkEnd w:id="26"/>
    <w:bookmarkStart w:name="z37" w:id="27"/>
    <w:p>
      <w:pPr>
        <w:spacing w:after="0"/>
        <w:ind w:left="0"/>
        <w:jc w:val="both"/>
      </w:pPr>
      <w:r>
        <w:rPr>
          <w:rFonts w:ascii="Times New Roman"/>
          <w:b w:val="false"/>
          <w:i w:val="false"/>
          <w:color w:val="000000"/>
          <w:sz w:val="28"/>
        </w:rPr>
        <w:t>
      5) значительные нарушения – нарушения требований, установленных нормативными правовыми актами в области изучения и использования недр, в части непредставления, искажения отчетов, отсутствия маркшейдерской документации, наличие одного и более подтвержденной жалобы на субъекты контроля, использования средств механизации, не предусмотренные условиями лицензии;</w:t>
      </w:r>
    </w:p>
    <w:bookmarkEnd w:id="27"/>
    <w:bookmarkStart w:name="z38" w:id="28"/>
    <w:p>
      <w:pPr>
        <w:spacing w:after="0"/>
        <w:ind w:left="0"/>
        <w:jc w:val="both"/>
      </w:pPr>
      <w:r>
        <w:rPr>
          <w:rFonts w:ascii="Times New Roman"/>
          <w:b w:val="false"/>
          <w:i w:val="false"/>
          <w:color w:val="000000"/>
          <w:sz w:val="28"/>
        </w:rPr>
        <w:t>
      6) незначительные нарушения – нарушения требований, установленных нормативными правовыми актами в области изучения и использования недр, в части отсутствия обозначений границ участка добычи на местности, представления периодического отчета о добытых драгоценных металлах и драгоценных камнях местными исполнительными органами областей, городов республиканского значения, столицы, выдавшему лицензию на старательство;</w:t>
      </w:r>
    </w:p>
    <w:bookmarkEnd w:id="28"/>
    <w:bookmarkStart w:name="z39" w:id="29"/>
    <w:p>
      <w:pPr>
        <w:spacing w:after="0"/>
        <w:ind w:left="0"/>
        <w:jc w:val="both"/>
      </w:pPr>
      <w:r>
        <w:rPr>
          <w:rFonts w:ascii="Times New Roman"/>
          <w:b w:val="false"/>
          <w:i w:val="false"/>
          <w:color w:val="000000"/>
          <w:sz w:val="28"/>
        </w:rPr>
        <w:t>
      7) грубые нарушения – нарушения требований, установленных нормативными правовыми актами в области изучения и использования недр, в части проведения операций по недропользованию за пределами участка недр, отсутствия проектного документа, проведение работ не предусмотренных проектными документами, необеспечения документирования работ по добыче, не достоверный учет добычи, отходов производства, образующихся при добыче, не устранение нарушений, выявленных по результатам профилактического контроля без посещения субъекта (объекта) контроля, а равно непредставление в срок плана мероприятий по устранению нарушений, размещение техногенных минеральных образований за пределами участка недр, отсутствия согласования плана горных работ, применения видов, способов и методов работ, не предусмотренных проектными документами, не уведомление компетентного органа внесения изменений в проектные документы в установленный срок, внесения изменений в план горных работ без уведомления компетентного органа, использования экскаваторов и бульдозеров на водных объектах и землях водного фонда, приходящихся на участок старательства, применения химических реагентов и взрывчатых веществ, возведения и строительства капитальных сооружений, вывоза за пределы участка старательства грунта и извлеченной горной массы.</w:t>
      </w:r>
    </w:p>
    <w:bookmarkEnd w:id="29"/>
    <w:bookmarkStart w:name="z40" w:id="30"/>
    <w:p>
      <w:pPr>
        <w:spacing w:after="0"/>
        <w:ind w:left="0"/>
        <w:jc w:val="both"/>
      </w:pPr>
      <w:r>
        <w:rPr>
          <w:rFonts w:ascii="Times New Roman"/>
          <w:b w:val="false"/>
          <w:i w:val="false"/>
          <w:color w:val="000000"/>
          <w:sz w:val="28"/>
        </w:rPr>
        <w:t>
      3. Отнесение субъектов контроля по степеням рисков осуществляется на основании объективных критериев и субъективных критериев.</w:t>
      </w:r>
    </w:p>
    <w:bookmarkEnd w:id="30"/>
    <w:bookmarkStart w:name="z41" w:id="31"/>
    <w:p>
      <w:pPr>
        <w:spacing w:after="0"/>
        <w:ind w:left="0"/>
        <w:jc w:val="both"/>
      </w:pPr>
      <w:r>
        <w:rPr>
          <w:rFonts w:ascii="Times New Roman"/>
          <w:b w:val="false"/>
          <w:i w:val="false"/>
          <w:color w:val="000000"/>
          <w:sz w:val="28"/>
        </w:rPr>
        <w:t>
      Государственный контроль за операциями по старательству, добыче общераспространенных полезных ископаемых осуществляются соответствующими местными исполнительными органами областей, городов республиканского значения, столицы.</w:t>
      </w:r>
    </w:p>
    <w:bookmarkEnd w:id="31"/>
    <w:bookmarkStart w:name="z42" w:id="32"/>
    <w:p>
      <w:pPr>
        <w:spacing w:after="0"/>
        <w:ind w:left="0"/>
        <w:jc w:val="left"/>
      </w:pPr>
      <w:r>
        <w:rPr>
          <w:rFonts w:ascii="Times New Roman"/>
          <w:b/>
          <w:i w:val="false"/>
          <w:color w:val="000000"/>
        </w:rPr>
        <w:t xml:space="preserve"> Глава 2. Объективные критерии</w:t>
      </w:r>
    </w:p>
    <w:bookmarkEnd w:id="32"/>
    <w:bookmarkStart w:name="z43" w:id="33"/>
    <w:p>
      <w:pPr>
        <w:spacing w:after="0"/>
        <w:ind w:left="0"/>
        <w:jc w:val="both"/>
      </w:pPr>
      <w:r>
        <w:rPr>
          <w:rFonts w:ascii="Times New Roman"/>
          <w:b w:val="false"/>
          <w:i w:val="false"/>
          <w:color w:val="000000"/>
          <w:sz w:val="28"/>
        </w:rPr>
        <w:t>
      4. Оценка степени риска субъектов контроля по объективным критериям и отнесение их к высокой или не отнесенной к высокой группе риска осуществляется по показателям наибольшей вероятности причинения вреда окружающей среде, законным интересам физических и юридических лиц, имущественным интересам государства в результате деятельности субъекта контроля с учетом степени тяжести его последствий.</w:t>
      </w:r>
    </w:p>
    <w:bookmarkEnd w:id="33"/>
    <w:bookmarkStart w:name="z44" w:id="34"/>
    <w:p>
      <w:pPr>
        <w:spacing w:after="0"/>
        <w:ind w:left="0"/>
        <w:jc w:val="both"/>
      </w:pPr>
      <w:r>
        <w:rPr>
          <w:rFonts w:ascii="Times New Roman"/>
          <w:b w:val="false"/>
          <w:i w:val="false"/>
          <w:color w:val="000000"/>
          <w:sz w:val="28"/>
        </w:rPr>
        <w:t>
      По объективным критериям субъекты контроля подразделяются на степени рисков:</w:t>
      </w:r>
    </w:p>
    <w:bookmarkEnd w:id="34"/>
    <w:bookmarkStart w:name="z45" w:id="35"/>
    <w:p>
      <w:pPr>
        <w:spacing w:after="0"/>
        <w:ind w:left="0"/>
        <w:jc w:val="both"/>
      </w:pPr>
      <w:r>
        <w:rPr>
          <w:rFonts w:ascii="Times New Roman"/>
          <w:b w:val="false"/>
          <w:i w:val="false"/>
          <w:color w:val="000000"/>
          <w:sz w:val="28"/>
        </w:rPr>
        <w:t>
      1) к высокой степени риска относятся субъекты контроля:</w:t>
      </w:r>
    </w:p>
    <w:bookmarkEnd w:id="35"/>
    <w:bookmarkStart w:name="z46" w:id="36"/>
    <w:p>
      <w:pPr>
        <w:spacing w:after="0"/>
        <w:ind w:left="0"/>
        <w:jc w:val="both"/>
      </w:pPr>
      <w:r>
        <w:rPr>
          <w:rFonts w:ascii="Times New Roman"/>
          <w:b w:val="false"/>
          <w:i w:val="false"/>
          <w:color w:val="000000"/>
          <w:sz w:val="28"/>
        </w:rPr>
        <w:t>
      осуществляющие деятельность по старательству, по добыче твердых и общераспространенных полезных ископаемых, за исключением операций по добыче урана;</w:t>
      </w:r>
    </w:p>
    <w:bookmarkEnd w:id="36"/>
    <w:bookmarkStart w:name="z47" w:id="37"/>
    <w:p>
      <w:pPr>
        <w:spacing w:after="0"/>
        <w:ind w:left="0"/>
        <w:jc w:val="both"/>
      </w:pPr>
      <w:r>
        <w:rPr>
          <w:rFonts w:ascii="Times New Roman"/>
          <w:b w:val="false"/>
          <w:i w:val="false"/>
          <w:color w:val="000000"/>
          <w:sz w:val="28"/>
        </w:rPr>
        <w:t>
      2) к не отнесенной к высокой степени риска относятся субъекты контроля:</w:t>
      </w:r>
    </w:p>
    <w:bookmarkEnd w:id="37"/>
    <w:bookmarkStart w:name="z48" w:id="38"/>
    <w:p>
      <w:pPr>
        <w:spacing w:after="0"/>
        <w:ind w:left="0"/>
        <w:jc w:val="both"/>
      </w:pPr>
      <w:r>
        <w:rPr>
          <w:rFonts w:ascii="Times New Roman"/>
          <w:b w:val="false"/>
          <w:i w:val="false"/>
          <w:color w:val="000000"/>
          <w:sz w:val="28"/>
        </w:rPr>
        <w:t>
      осуществляющие деятельность по разведке твердых полезных ископаемых, по геологическому изучению, а также использованию пространства недр, по учету, хранению, обеспечению сохранности и достоверности геологической информации.</w:t>
      </w:r>
    </w:p>
    <w:bookmarkEnd w:id="38"/>
    <w:bookmarkStart w:name="z49" w:id="39"/>
    <w:p>
      <w:pPr>
        <w:spacing w:after="0"/>
        <w:ind w:left="0"/>
        <w:jc w:val="both"/>
      </w:pPr>
      <w:r>
        <w:rPr>
          <w:rFonts w:ascii="Times New Roman"/>
          <w:b w:val="false"/>
          <w:i w:val="false"/>
          <w:color w:val="000000"/>
          <w:sz w:val="28"/>
        </w:rPr>
        <w:t>
      5. В отношении субъектов контроля, отнесенных к высокой степени риска, проводятся профилактический контроль без посещения субъектов (объектов) контроля, профилактический контроль с посещением субъектов (объектов) контроля и внеплановые проверки.</w:t>
      </w:r>
    </w:p>
    <w:bookmarkEnd w:id="39"/>
    <w:bookmarkStart w:name="z50" w:id="40"/>
    <w:p>
      <w:pPr>
        <w:spacing w:after="0"/>
        <w:ind w:left="0"/>
        <w:jc w:val="both"/>
      </w:pPr>
      <w:r>
        <w:rPr>
          <w:rFonts w:ascii="Times New Roman"/>
          <w:b w:val="false"/>
          <w:i w:val="false"/>
          <w:color w:val="000000"/>
          <w:sz w:val="28"/>
        </w:rPr>
        <w:t>
      В отношении субъектов контроля, не отнесенных к высокой степени риска, проводятся профилактический контроль без посещения субъектов (объектов) контроля и внеплановые проверки.</w:t>
      </w:r>
    </w:p>
    <w:bookmarkEnd w:id="40"/>
    <w:bookmarkStart w:name="z51" w:id="41"/>
    <w:p>
      <w:pPr>
        <w:spacing w:after="0"/>
        <w:ind w:left="0"/>
        <w:jc w:val="left"/>
      </w:pPr>
      <w:r>
        <w:rPr>
          <w:rFonts w:ascii="Times New Roman"/>
          <w:b/>
          <w:i w:val="false"/>
          <w:color w:val="000000"/>
        </w:rPr>
        <w:t xml:space="preserve"> Глава 3. Субъективные критерии</w:t>
      </w:r>
    </w:p>
    <w:bookmarkEnd w:id="41"/>
    <w:bookmarkStart w:name="z52" w:id="42"/>
    <w:p>
      <w:pPr>
        <w:spacing w:after="0"/>
        <w:ind w:left="0"/>
        <w:jc w:val="both"/>
      </w:pPr>
      <w:r>
        <w:rPr>
          <w:rFonts w:ascii="Times New Roman"/>
          <w:b w:val="false"/>
          <w:i w:val="false"/>
          <w:color w:val="000000"/>
          <w:sz w:val="28"/>
        </w:rPr>
        <w:t>
      6. Определение субъективных критериев осуществляется с применением следующих этапов:</w:t>
      </w:r>
    </w:p>
    <w:bookmarkEnd w:id="42"/>
    <w:bookmarkStart w:name="z53" w:id="43"/>
    <w:p>
      <w:pPr>
        <w:spacing w:after="0"/>
        <w:ind w:left="0"/>
        <w:jc w:val="both"/>
      </w:pPr>
      <w:r>
        <w:rPr>
          <w:rFonts w:ascii="Times New Roman"/>
          <w:b w:val="false"/>
          <w:i w:val="false"/>
          <w:color w:val="000000"/>
          <w:sz w:val="28"/>
        </w:rPr>
        <w:t>
      1) формирование базы данных и сбор информации;</w:t>
      </w:r>
    </w:p>
    <w:bookmarkEnd w:id="43"/>
    <w:bookmarkStart w:name="z54" w:id="44"/>
    <w:p>
      <w:pPr>
        <w:spacing w:after="0"/>
        <w:ind w:left="0"/>
        <w:jc w:val="both"/>
      </w:pPr>
      <w:r>
        <w:rPr>
          <w:rFonts w:ascii="Times New Roman"/>
          <w:b w:val="false"/>
          <w:i w:val="false"/>
          <w:color w:val="000000"/>
          <w:sz w:val="28"/>
        </w:rPr>
        <w:t>
      2) анализ информации и оценка рисков.</w:t>
      </w:r>
    </w:p>
    <w:bookmarkEnd w:id="44"/>
    <w:bookmarkStart w:name="z55" w:id="45"/>
    <w:p>
      <w:pPr>
        <w:spacing w:after="0"/>
        <w:ind w:left="0"/>
        <w:jc w:val="both"/>
      </w:pPr>
      <w:r>
        <w:rPr>
          <w:rFonts w:ascii="Times New Roman"/>
          <w:b w:val="false"/>
          <w:i w:val="false"/>
          <w:color w:val="000000"/>
          <w:sz w:val="28"/>
        </w:rPr>
        <w:t>
      7. Формирование базы данных и сбор информации необходимы для выявления субъектов контроля, нарушающих законодательство Республики Казахстан в области недропользования.</w:t>
      </w:r>
    </w:p>
    <w:bookmarkEnd w:id="45"/>
    <w:bookmarkStart w:name="z56" w:id="46"/>
    <w:p>
      <w:pPr>
        <w:spacing w:after="0"/>
        <w:ind w:left="0"/>
        <w:jc w:val="both"/>
      </w:pPr>
      <w:r>
        <w:rPr>
          <w:rFonts w:ascii="Times New Roman"/>
          <w:b w:val="false"/>
          <w:i w:val="false"/>
          <w:color w:val="000000"/>
          <w:sz w:val="28"/>
        </w:rPr>
        <w:t>
      Для оценки степени рисков используются следующие источники информации:</w:t>
      </w:r>
    </w:p>
    <w:bookmarkEnd w:id="46"/>
    <w:bookmarkStart w:name="z57" w:id="47"/>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проводимого государственными органами;</w:t>
      </w:r>
    </w:p>
    <w:bookmarkEnd w:id="47"/>
    <w:bookmarkStart w:name="z58" w:id="48"/>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48"/>
    <w:bookmarkStart w:name="z59" w:id="49"/>
    <w:p>
      <w:pPr>
        <w:spacing w:after="0"/>
        <w:ind w:left="0"/>
        <w:jc w:val="both"/>
      </w:pPr>
      <w:r>
        <w:rPr>
          <w:rFonts w:ascii="Times New Roman"/>
          <w:b w:val="false"/>
          <w:i w:val="false"/>
          <w:color w:val="000000"/>
          <w:sz w:val="28"/>
        </w:rPr>
        <w:t>
      3) наличие и количество подтвержденных жалоб и обращений.</w:t>
      </w:r>
    </w:p>
    <w:bookmarkEnd w:id="49"/>
    <w:bookmarkStart w:name="z60" w:id="50"/>
    <w:p>
      <w:pPr>
        <w:spacing w:after="0"/>
        <w:ind w:left="0"/>
        <w:jc w:val="both"/>
      </w:pPr>
      <w:r>
        <w:rPr>
          <w:rFonts w:ascii="Times New Roman"/>
          <w:b w:val="false"/>
          <w:i w:val="false"/>
          <w:color w:val="000000"/>
          <w:sz w:val="28"/>
        </w:rPr>
        <w:t>
      4)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50"/>
    <w:bookmarkStart w:name="z61" w:id="51"/>
    <w:p>
      <w:pPr>
        <w:spacing w:after="0"/>
        <w:ind w:left="0"/>
        <w:jc w:val="both"/>
      </w:pPr>
      <w:r>
        <w:rPr>
          <w:rFonts w:ascii="Times New Roman"/>
          <w:b w:val="false"/>
          <w:i w:val="false"/>
          <w:color w:val="000000"/>
          <w:sz w:val="28"/>
        </w:rPr>
        <w:t>
      8. При наличии у субъекта контроля смягчающего индикатора, субъект контроля осуществляющий деятельность по учету, хранению, обеспечению сохранности и достоверности геологической информации освобождается от проведения соответствующего профилактического контроля с посещением субъектов (объектов) контроля.</w:t>
      </w:r>
    </w:p>
    <w:bookmarkEnd w:id="51"/>
    <w:bookmarkStart w:name="z62" w:id="52"/>
    <w:p>
      <w:pPr>
        <w:spacing w:after="0"/>
        <w:ind w:left="0"/>
        <w:jc w:val="both"/>
      </w:pPr>
      <w:r>
        <w:rPr>
          <w:rFonts w:ascii="Times New Roman"/>
          <w:b w:val="false"/>
          <w:i w:val="false"/>
          <w:color w:val="000000"/>
          <w:sz w:val="28"/>
        </w:rPr>
        <w:t>
      К смягчающему индикатору относится:</w:t>
      </w:r>
    </w:p>
    <w:bookmarkEnd w:id="52"/>
    <w:bookmarkStart w:name="z63" w:id="53"/>
    <w:p>
      <w:pPr>
        <w:spacing w:after="0"/>
        <w:ind w:left="0"/>
        <w:jc w:val="both"/>
      </w:pPr>
      <w:r>
        <w:rPr>
          <w:rFonts w:ascii="Times New Roman"/>
          <w:b w:val="false"/>
          <w:i w:val="false"/>
          <w:color w:val="000000"/>
          <w:sz w:val="28"/>
        </w:rPr>
        <w:t>
      хранение частной геологической информации недропользователей на электронных носителях в информационной системе "Государственный банк данных о недрах" (зарегистрирован в Депозитарии программных продуктов, программных кодов и нормативно-технической документации от 1 июля 2014 года № ДХ-14-0000067 и в Государственном регистре информационных ресурсов от 8 июля 2014 года № KZ-П-14-0000029).</w:t>
      </w:r>
    </w:p>
    <w:bookmarkEnd w:id="53"/>
    <w:bookmarkStart w:name="z64" w:id="54"/>
    <w:p>
      <w:pPr>
        <w:spacing w:after="0"/>
        <w:ind w:left="0"/>
        <w:jc w:val="both"/>
      </w:pPr>
      <w:r>
        <w:rPr>
          <w:rFonts w:ascii="Times New Roman"/>
          <w:b w:val="false"/>
          <w:i w:val="false"/>
          <w:color w:val="000000"/>
          <w:sz w:val="28"/>
        </w:rPr>
        <w:t xml:space="preserve">
      Информационная система "Государственный банк данных о недрах" используется до создания и внедрения информационной системы "Национальный банк данных минеральных ресурсов Республики Казахстан"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Республики Казахстан от 24 ноября 2015 года "Об информатизации".</w:t>
      </w:r>
    </w:p>
    <w:bookmarkEnd w:id="54"/>
    <w:bookmarkStart w:name="z65" w:id="55"/>
    <w:p>
      <w:pPr>
        <w:spacing w:after="0"/>
        <w:ind w:left="0"/>
        <w:jc w:val="both"/>
      </w:pPr>
      <w:r>
        <w:rPr>
          <w:rFonts w:ascii="Times New Roman"/>
          <w:b w:val="false"/>
          <w:i w:val="false"/>
          <w:color w:val="000000"/>
          <w:sz w:val="28"/>
        </w:rPr>
        <w:t>
      9. Субъективные критерии разработаны на основании требований проверочных листов, несоблюдение которых в соответствии с критериями оценки степени риска соответствуют определенной степени нарушения. В отношении каждого требования из проверочных листов определяется степень нарушения – грубое, значительное и незначительное.</w:t>
      </w:r>
    </w:p>
    <w:bookmarkEnd w:id="55"/>
    <w:bookmarkStart w:name="z66" w:id="56"/>
    <w:p>
      <w:pPr>
        <w:spacing w:after="0"/>
        <w:ind w:left="0"/>
        <w:jc w:val="both"/>
      </w:pPr>
      <w:r>
        <w:rPr>
          <w:rFonts w:ascii="Times New Roman"/>
          <w:b w:val="false"/>
          <w:i w:val="false"/>
          <w:color w:val="000000"/>
          <w:sz w:val="28"/>
        </w:rPr>
        <w:t>
      При этом определение грубых, значительных и незначительных нарушений устанавливается в критериях оценки степени риска с учетом специфики соответствующей сферы государственного контроля.</w:t>
      </w:r>
    </w:p>
    <w:bookmarkEnd w:id="56"/>
    <w:bookmarkStart w:name="z67" w:id="57"/>
    <w:p>
      <w:pPr>
        <w:spacing w:after="0"/>
        <w:ind w:left="0"/>
        <w:jc w:val="both"/>
      </w:pPr>
      <w:r>
        <w:rPr>
          <w:rFonts w:ascii="Times New Roman"/>
          <w:b w:val="false"/>
          <w:i w:val="false"/>
          <w:color w:val="000000"/>
          <w:sz w:val="28"/>
        </w:rPr>
        <w:t>
      При формировании субъективных критериев степень нарушения (грубое, незначительное, значительное) присваивается в соответствии с установленными определениями грубых, незначительных, значительных нарушений.</w:t>
      </w:r>
    </w:p>
    <w:bookmarkEnd w:id="57"/>
    <w:bookmarkStart w:name="z68" w:id="58"/>
    <w:p>
      <w:pPr>
        <w:spacing w:after="0"/>
        <w:ind w:left="0"/>
        <w:jc w:val="both"/>
      </w:pPr>
      <w:r>
        <w:rPr>
          <w:rFonts w:ascii="Times New Roman"/>
          <w:b w:val="false"/>
          <w:i w:val="false"/>
          <w:color w:val="000000"/>
          <w:sz w:val="28"/>
        </w:rPr>
        <w:t>
      На основании источников информации, указанных в пункте 7 настоящих Критериев, в соответствии с установленными определениями грубых, значительных, незначительных нарушений, определены субъективные критерии оценки степени риска в области изучения и использования недр согласно приложению, к настоящим Критериям.</w:t>
      </w:r>
    </w:p>
    <w:bookmarkEnd w:id="58"/>
    <w:bookmarkStart w:name="z69" w:id="59"/>
    <w:p>
      <w:pPr>
        <w:spacing w:after="0"/>
        <w:ind w:left="0"/>
        <w:jc w:val="both"/>
      </w:pPr>
      <w:r>
        <w:rPr>
          <w:rFonts w:ascii="Times New Roman"/>
          <w:b w:val="false"/>
          <w:i w:val="false"/>
          <w:color w:val="000000"/>
          <w:sz w:val="28"/>
        </w:rPr>
        <w:t>
      Анализ и оценка субъективных критериев позволит сконцентрировать профилактический контроль с посещением субъекта (объекта) контроля в отношении субъекта (объекта) контроля с наибольшим потенциальным риском.</w:t>
      </w:r>
    </w:p>
    <w:bookmarkEnd w:id="59"/>
    <w:bookmarkStart w:name="z70" w:id="60"/>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либо данные, по которым истек срок исковой давности в соответствии с законодательством Республики Казахстан.</w:t>
      </w:r>
    </w:p>
    <w:bookmarkEnd w:id="60"/>
    <w:bookmarkStart w:name="z71" w:id="61"/>
    <w:p>
      <w:pPr>
        <w:spacing w:after="0"/>
        <w:ind w:left="0"/>
        <w:jc w:val="both"/>
      </w:pPr>
      <w:r>
        <w:rPr>
          <w:rFonts w:ascii="Times New Roman"/>
          <w:b w:val="false"/>
          <w:i w:val="false"/>
          <w:color w:val="000000"/>
          <w:sz w:val="28"/>
        </w:rPr>
        <w:t>
      10. Для отнесения субъекта контроля к степени риска, применяется следующий порядок расчета показателя степени риска.</w:t>
      </w:r>
    </w:p>
    <w:bookmarkEnd w:id="61"/>
    <w:bookmarkStart w:name="z72" w:id="62"/>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62"/>
    <w:bookmarkStart w:name="z73" w:id="63"/>
    <w:p>
      <w:pPr>
        <w:spacing w:after="0"/>
        <w:ind w:left="0"/>
        <w:jc w:val="both"/>
      </w:pPr>
      <w:r>
        <w:rPr>
          <w:rFonts w:ascii="Times New Roman"/>
          <w:b w:val="false"/>
          <w:i w:val="false"/>
          <w:color w:val="000000"/>
          <w:sz w:val="28"/>
        </w:rPr>
        <w:t>
      В случае если грубых нарушений не выявлено, для определения показателя степени риска рассчитывается суммарный показатель по нарушениям значительной и незначительной степени.</w:t>
      </w:r>
    </w:p>
    <w:bookmarkEnd w:id="63"/>
    <w:bookmarkStart w:name="z74" w:id="64"/>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64"/>
    <w:bookmarkStart w:name="z75" w:id="65"/>
    <w:p>
      <w:pPr>
        <w:spacing w:after="0"/>
        <w:ind w:left="0"/>
        <w:jc w:val="both"/>
      </w:pPr>
      <w:r>
        <w:rPr>
          <w:rFonts w:ascii="Times New Roman"/>
          <w:b w:val="false"/>
          <w:i w:val="false"/>
          <w:color w:val="000000"/>
          <w:sz w:val="28"/>
        </w:rPr>
        <w:t>
      SРз = (SР2 х 100/SР1) х 0,7,</w:t>
      </w:r>
    </w:p>
    <w:bookmarkEnd w:id="65"/>
    <w:bookmarkStart w:name="z76" w:id="66"/>
    <w:p>
      <w:pPr>
        <w:spacing w:after="0"/>
        <w:ind w:left="0"/>
        <w:jc w:val="both"/>
      </w:pPr>
      <w:r>
        <w:rPr>
          <w:rFonts w:ascii="Times New Roman"/>
          <w:b w:val="false"/>
          <w:i w:val="false"/>
          <w:color w:val="000000"/>
          <w:sz w:val="28"/>
        </w:rPr>
        <w:t>
      где:</w:t>
      </w:r>
    </w:p>
    <w:bookmarkEnd w:id="66"/>
    <w:bookmarkStart w:name="z77" w:id="67"/>
    <w:p>
      <w:pPr>
        <w:spacing w:after="0"/>
        <w:ind w:left="0"/>
        <w:jc w:val="both"/>
      </w:pPr>
      <w:r>
        <w:rPr>
          <w:rFonts w:ascii="Times New Roman"/>
          <w:b w:val="false"/>
          <w:i w:val="false"/>
          <w:color w:val="000000"/>
          <w:sz w:val="28"/>
        </w:rPr>
        <w:t>
      SРз – показатель значительных нарушений;</w:t>
      </w:r>
    </w:p>
    <w:bookmarkEnd w:id="67"/>
    <w:bookmarkStart w:name="z78" w:id="68"/>
    <w:p>
      <w:pPr>
        <w:spacing w:after="0"/>
        <w:ind w:left="0"/>
        <w:jc w:val="both"/>
      </w:pPr>
      <w:r>
        <w:rPr>
          <w:rFonts w:ascii="Times New Roman"/>
          <w:b w:val="false"/>
          <w:i w:val="false"/>
          <w:color w:val="000000"/>
          <w:sz w:val="28"/>
        </w:rPr>
        <w:t>
      SР1 – требуемое количество значительных нарушений;</w:t>
      </w:r>
    </w:p>
    <w:bookmarkEnd w:id="68"/>
    <w:bookmarkStart w:name="z79" w:id="69"/>
    <w:p>
      <w:pPr>
        <w:spacing w:after="0"/>
        <w:ind w:left="0"/>
        <w:jc w:val="both"/>
      </w:pPr>
      <w:r>
        <w:rPr>
          <w:rFonts w:ascii="Times New Roman"/>
          <w:b w:val="false"/>
          <w:i w:val="false"/>
          <w:color w:val="000000"/>
          <w:sz w:val="28"/>
        </w:rPr>
        <w:t>
      SР2 – количество выявленных значительных нарушений;</w:t>
      </w:r>
    </w:p>
    <w:bookmarkEnd w:id="69"/>
    <w:bookmarkStart w:name="z80" w:id="70"/>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70"/>
    <w:bookmarkStart w:name="z81" w:id="71"/>
    <w:p>
      <w:pPr>
        <w:spacing w:after="0"/>
        <w:ind w:left="0"/>
        <w:jc w:val="both"/>
      </w:pPr>
      <w:r>
        <w:rPr>
          <w:rFonts w:ascii="Times New Roman"/>
          <w:b w:val="false"/>
          <w:i w:val="false"/>
          <w:color w:val="000000"/>
          <w:sz w:val="28"/>
        </w:rPr>
        <w:t>
      SРн = (SР2 х 100/SР1) х 0,3,</w:t>
      </w:r>
    </w:p>
    <w:bookmarkEnd w:id="71"/>
    <w:bookmarkStart w:name="z82" w:id="72"/>
    <w:p>
      <w:pPr>
        <w:spacing w:after="0"/>
        <w:ind w:left="0"/>
        <w:jc w:val="both"/>
      </w:pPr>
      <w:r>
        <w:rPr>
          <w:rFonts w:ascii="Times New Roman"/>
          <w:b w:val="false"/>
          <w:i w:val="false"/>
          <w:color w:val="000000"/>
          <w:sz w:val="28"/>
        </w:rPr>
        <w:t>
      где:</w:t>
      </w:r>
    </w:p>
    <w:bookmarkEnd w:id="72"/>
    <w:bookmarkStart w:name="z83" w:id="73"/>
    <w:p>
      <w:pPr>
        <w:spacing w:after="0"/>
        <w:ind w:left="0"/>
        <w:jc w:val="both"/>
      </w:pPr>
      <w:r>
        <w:rPr>
          <w:rFonts w:ascii="Times New Roman"/>
          <w:b w:val="false"/>
          <w:i w:val="false"/>
          <w:color w:val="000000"/>
          <w:sz w:val="28"/>
        </w:rPr>
        <w:t>
      SРн – показатель незначительных нарушений;</w:t>
      </w:r>
    </w:p>
    <w:bookmarkEnd w:id="73"/>
    <w:bookmarkStart w:name="z84" w:id="74"/>
    <w:p>
      <w:pPr>
        <w:spacing w:after="0"/>
        <w:ind w:left="0"/>
        <w:jc w:val="both"/>
      </w:pPr>
      <w:r>
        <w:rPr>
          <w:rFonts w:ascii="Times New Roman"/>
          <w:b w:val="false"/>
          <w:i w:val="false"/>
          <w:color w:val="000000"/>
          <w:sz w:val="28"/>
        </w:rPr>
        <w:t>
      SР1 – требуемое количество незначительных нарушений;</w:t>
      </w:r>
    </w:p>
    <w:bookmarkEnd w:id="74"/>
    <w:bookmarkStart w:name="z85" w:id="75"/>
    <w:p>
      <w:pPr>
        <w:spacing w:after="0"/>
        <w:ind w:left="0"/>
        <w:jc w:val="both"/>
      </w:pPr>
      <w:r>
        <w:rPr>
          <w:rFonts w:ascii="Times New Roman"/>
          <w:b w:val="false"/>
          <w:i w:val="false"/>
          <w:color w:val="000000"/>
          <w:sz w:val="28"/>
        </w:rPr>
        <w:t>
      SР2 – количество выявленных незначительных нарушений;</w:t>
      </w:r>
    </w:p>
    <w:bookmarkEnd w:id="75"/>
    <w:bookmarkStart w:name="z86" w:id="76"/>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76"/>
    <w:bookmarkStart w:name="z87" w:id="77"/>
    <w:p>
      <w:pPr>
        <w:spacing w:after="0"/>
        <w:ind w:left="0"/>
        <w:jc w:val="both"/>
      </w:pPr>
      <w:r>
        <w:rPr>
          <w:rFonts w:ascii="Times New Roman"/>
          <w:b w:val="false"/>
          <w:i w:val="false"/>
          <w:color w:val="000000"/>
          <w:sz w:val="28"/>
        </w:rPr>
        <w:t>
      SР = SРз + SРн,</w:t>
      </w:r>
    </w:p>
    <w:bookmarkEnd w:id="77"/>
    <w:bookmarkStart w:name="z88" w:id="78"/>
    <w:p>
      <w:pPr>
        <w:spacing w:after="0"/>
        <w:ind w:left="0"/>
        <w:jc w:val="both"/>
      </w:pPr>
      <w:r>
        <w:rPr>
          <w:rFonts w:ascii="Times New Roman"/>
          <w:b w:val="false"/>
          <w:i w:val="false"/>
          <w:color w:val="000000"/>
          <w:sz w:val="28"/>
        </w:rPr>
        <w:t>
      где:</w:t>
      </w:r>
    </w:p>
    <w:bookmarkEnd w:id="78"/>
    <w:bookmarkStart w:name="z89" w:id="79"/>
    <w:p>
      <w:pPr>
        <w:spacing w:after="0"/>
        <w:ind w:left="0"/>
        <w:jc w:val="both"/>
      </w:pPr>
      <w:r>
        <w:rPr>
          <w:rFonts w:ascii="Times New Roman"/>
          <w:b w:val="false"/>
          <w:i w:val="false"/>
          <w:color w:val="000000"/>
          <w:sz w:val="28"/>
        </w:rPr>
        <w:t>
      SР – общий показатель степени риска;</w:t>
      </w:r>
    </w:p>
    <w:bookmarkEnd w:id="79"/>
    <w:bookmarkStart w:name="z90" w:id="80"/>
    <w:p>
      <w:pPr>
        <w:spacing w:after="0"/>
        <w:ind w:left="0"/>
        <w:jc w:val="both"/>
      </w:pPr>
      <w:r>
        <w:rPr>
          <w:rFonts w:ascii="Times New Roman"/>
          <w:b w:val="false"/>
          <w:i w:val="false"/>
          <w:color w:val="000000"/>
          <w:sz w:val="28"/>
        </w:rPr>
        <w:t>
      SРз – показатель значительных нарушений;</w:t>
      </w:r>
    </w:p>
    <w:bookmarkEnd w:id="80"/>
    <w:bookmarkStart w:name="z91" w:id="81"/>
    <w:p>
      <w:pPr>
        <w:spacing w:after="0"/>
        <w:ind w:left="0"/>
        <w:jc w:val="both"/>
      </w:pPr>
      <w:r>
        <w:rPr>
          <w:rFonts w:ascii="Times New Roman"/>
          <w:b w:val="false"/>
          <w:i w:val="false"/>
          <w:color w:val="000000"/>
          <w:sz w:val="28"/>
        </w:rPr>
        <w:t>
      SРн – показатель незначительных нарушений.</w:t>
      </w:r>
    </w:p>
    <w:bookmarkEnd w:id="81"/>
    <w:bookmarkStart w:name="z92" w:id="82"/>
    <w:p>
      <w:pPr>
        <w:spacing w:after="0"/>
        <w:ind w:left="0"/>
        <w:jc w:val="both"/>
      </w:pPr>
      <w:r>
        <w:rPr>
          <w:rFonts w:ascii="Times New Roman"/>
          <w:b w:val="false"/>
          <w:i w:val="false"/>
          <w:color w:val="000000"/>
          <w:sz w:val="28"/>
        </w:rPr>
        <w:t>
      11. По показателям степени риска субъект контроля относится:</w:t>
      </w:r>
    </w:p>
    <w:bookmarkEnd w:id="82"/>
    <w:bookmarkStart w:name="z93" w:id="83"/>
    <w:p>
      <w:pPr>
        <w:spacing w:after="0"/>
        <w:ind w:left="0"/>
        <w:jc w:val="both"/>
      </w:pPr>
      <w:r>
        <w:rPr>
          <w:rFonts w:ascii="Times New Roman"/>
          <w:b w:val="false"/>
          <w:i w:val="false"/>
          <w:color w:val="000000"/>
          <w:sz w:val="28"/>
        </w:rPr>
        <w:t>
      1) к высокой степени риска – при показателе степени риска от 61 до 100 включительно и в отношении него проводится профилактический контроль с посещением субъекта (объекта) контроля;</w:t>
      </w:r>
    </w:p>
    <w:bookmarkEnd w:id="83"/>
    <w:bookmarkStart w:name="z94" w:id="84"/>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включительно и в отношении него не проводится профилактический контроль с посещением субъекта (объекта) контроля.</w:t>
      </w:r>
    </w:p>
    <w:bookmarkEnd w:id="84"/>
    <w:bookmarkStart w:name="z95" w:id="85"/>
    <w:p>
      <w:pPr>
        <w:spacing w:after="0"/>
        <w:ind w:left="0"/>
        <w:jc w:val="both"/>
      </w:pPr>
      <w:r>
        <w:rPr>
          <w:rFonts w:ascii="Times New Roman"/>
          <w:b w:val="false"/>
          <w:i w:val="false"/>
          <w:color w:val="000000"/>
          <w:sz w:val="28"/>
        </w:rPr>
        <w:t>
      12. Кратность проведения профилактического контроля с посещением субъекта (объекта) контроля определяется по результатам проводимого анализа и оценки получаемых сведений по субъективным критериям и не может быть чаще одного раза в год.</w:t>
      </w:r>
    </w:p>
    <w:bookmarkEnd w:id="85"/>
    <w:bookmarkStart w:name="z96" w:id="86"/>
    <w:p>
      <w:pPr>
        <w:spacing w:after="0"/>
        <w:ind w:left="0"/>
        <w:jc w:val="both"/>
      </w:pPr>
      <w:r>
        <w:rPr>
          <w:rFonts w:ascii="Times New Roman"/>
          <w:b w:val="false"/>
          <w:i w:val="false"/>
          <w:color w:val="000000"/>
          <w:sz w:val="28"/>
        </w:rPr>
        <w:t xml:space="preserve">
      13. Профилактический контроль с посещением субъекта (объекта) контроля проводится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Кодекса.</w:t>
      </w:r>
    </w:p>
    <w:bookmarkEnd w:id="86"/>
    <w:bookmarkStart w:name="z97" w:id="87"/>
    <w:p>
      <w:pPr>
        <w:spacing w:after="0"/>
        <w:ind w:left="0"/>
        <w:jc w:val="both"/>
      </w:pPr>
      <w:r>
        <w:rPr>
          <w:rFonts w:ascii="Times New Roman"/>
          <w:b w:val="false"/>
          <w:i w:val="false"/>
          <w:color w:val="000000"/>
          <w:sz w:val="28"/>
        </w:rPr>
        <w:t>
      14.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изучения</w:t>
            </w:r>
            <w:r>
              <w:br/>
            </w:r>
            <w:r>
              <w:rPr>
                <w:rFonts w:ascii="Times New Roman"/>
                <w:b w:val="false"/>
                <w:i w:val="false"/>
                <w:color w:val="000000"/>
                <w:sz w:val="20"/>
              </w:rPr>
              <w:t>и использования недр</w:t>
            </w:r>
          </w:p>
        </w:tc>
      </w:tr>
    </w:tbl>
    <w:bookmarkStart w:name="z99" w:id="88"/>
    <w:p>
      <w:pPr>
        <w:spacing w:after="0"/>
        <w:ind w:left="0"/>
        <w:jc w:val="left"/>
      </w:pPr>
      <w:r>
        <w:rPr>
          <w:rFonts w:ascii="Times New Roman"/>
          <w:b/>
          <w:i w:val="false"/>
          <w:color w:val="000000"/>
        </w:rPr>
        <w:t xml:space="preserve"> Субъективные критерии оценки степени риска в области изучения и использования недр (степень тяжести устанавливается при несоблюдении указанного требования)</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0119"/>
        <w:gridCol w:w="855"/>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плана мероприятий по устранению нарушений</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Результаты мониторинга отчетности и сведений, представляемых субъектом контроля, проводимого государственными органами</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(не позднее 30 апреля каждого года), искажение периодических геологических отчетов</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отчетов о добытых драгоценных металлах и драгоценных камнях, общераспространенных и твердых полезных ископаемых, за исключением урана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не предусмотренных проектными документами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операций по недропользованию за пределами участка недр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Результаты предыдущих проверок и профилактического контроля с посещением субъектов (объектов) контроля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недропользователей, осуществляющих добычу общераспространенных и твердых полезных ископаемых, за исключением урана</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добычи в пределах участка недр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всех работ по добыче. Документация должна содержать описание работ, необходимое для достоверного изучения и последующего освоения участка недр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достоверного учета добытых полезных ископаемых, отходов производства, образующихся при добыче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маркшейдерской документации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техногенных минеральных образований горно-добывающих и горно-перерабатывающих (обогатительных) производств в пределах участков недр, находящихся в пользовании по лицензии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проектного документа, предусматривающего проведение операций по недропользованию</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согласований плана горных работ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операций по добыче, с применением видов, способов и методов работ, предусмотренных проектным документом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компетентного органа (государственного органа, являющегося стороной контракта и (или) выдавшего лицензию на недропользование) о внесении изменений в проектные документы в установленный срок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проводить работы по измененному плану горных работ до его представления уполномоченному органу в области твердых полезных ископаемых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недропользователей, осуществляющих старательство</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старательства в пределах участка недр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использовать экскаваторы и бульдозеры на водных объектах и землях водного фонда, приходящихся на участок старательства, применять химические реагенты и взрывчатые веществ, возводить и строить капитальные сооружения, вывозить за пределы участка старательства грунт и извлеченную горную массу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ограничения по использованию средств механизации, предусмотренные условиями лицензии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периодического отчета о добытых драгоценных металлах и драгоценных камнях местному исполнительному органу области, выдавшему лицензию на старательство</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старательства при использовании средств механизации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и количество подтвержденных жалоб и обращений поступивших от физических или юридических лиц, государственных органов</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подтвержденной жалобы на субъекты контроля, проводящие операции по недропользованию с нарушениями установленных требований</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2018 года № 779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2018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2015 года № 1222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2015 года № 796</w:t>
            </w:r>
          </w:p>
        </w:tc>
      </w:tr>
    </w:tbl>
    <w:bookmarkStart w:name="z102" w:id="89"/>
    <w:p>
      <w:pPr>
        <w:spacing w:after="0"/>
        <w:ind w:left="0"/>
        <w:jc w:val="left"/>
      </w:pPr>
      <w:r>
        <w:rPr>
          <w:rFonts w:ascii="Times New Roman"/>
          <w:b/>
          <w:i w:val="false"/>
          <w:color w:val="000000"/>
        </w:rPr>
        <w:t xml:space="preserve">                    Проверочный лист в области изучения и использования недр</w:t>
      </w:r>
    </w:p>
    <w:bookmarkEnd w:id="89"/>
    <w:bookmarkStart w:name="z103" w:id="90"/>
    <w:p>
      <w:pPr>
        <w:spacing w:after="0"/>
        <w:ind w:left="0"/>
        <w:jc w:val="both"/>
      </w:pPr>
      <w:r>
        <w:rPr>
          <w:rFonts w:ascii="Times New Roman"/>
          <w:b w:val="false"/>
          <w:i w:val="false"/>
          <w:color w:val="000000"/>
          <w:sz w:val="28"/>
        </w:rPr>
        <w:t>
      в отношении: недропользователей, осуществляющих геологическое изучение недр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Государственный орган, назначивший проверку_______________________________________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 контроля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__________________________________________________________</w:t>
      </w:r>
      <w:r>
        <w:br/>
      </w:r>
      <w:r>
        <w:rPr>
          <w:rFonts w:ascii="Times New Roman"/>
          <w:b w:val="false"/>
          <w:i w:val="false"/>
          <w:color w:val="000000"/>
          <w:sz w:val="28"/>
        </w:rPr>
        <w:t>________________________________________________________________________________</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8418"/>
        <w:gridCol w:w="771"/>
        <w:gridCol w:w="771"/>
        <w:gridCol w:w="772"/>
        <w:gridCol w:w="772"/>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геологического изучения недр в пределах участка недр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проектного документа, предусматривающего проведение операций по недропользованию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геологического изучения недр в соответствии с проектным документом (план геологического изучения, проект поисково-оценочных работ на подземные воды)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работ, проводимых по лицензии на геологическое изучение недр и отражение всех сведений, необходимых для достоверного изучения недр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возводить капитальные сооружения, постоянно складировать и хранить взрывчатые вещества, создавать канавы, шурфы, траншеи и другие виды горных выработок, а также проводить вскрышные работы (для лицензий на геологическое изучение недр)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91"/>
    <w:p>
      <w:pPr>
        <w:spacing w:after="0"/>
        <w:ind w:left="0"/>
        <w:jc w:val="both"/>
      </w:pPr>
      <w:r>
        <w:rPr>
          <w:rFonts w:ascii="Times New Roman"/>
          <w:b w:val="false"/>
          <w:i w:val="false"/>
          <w:color w:val="000000"/>
          <w:sz w:val="28"/>
        </w:rPr>
        <w:t>
      Должностное (ые) лицо (а) _______________________________________ 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 __________________________________ 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2018 года № 779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2018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2015 года № 1222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2015 года № 796</w:t>
            </w:r>
          </w:p>
        </w:tc>
      </w:tr>
    </w:tbl>
    <w:bookmarkStart w:name="z107" w:id="92"/>
    <w:p>
      <w:pPr>
        <w:spacing w:after="0"/>
        <w:ind w:left="0"/>
        <w:jc w:val="left"/>
      </w:pPr>
      <w:r>
        <w:rPr>
          <w:rFonts w:ascii="Times New Roman"/>
          <w:b/>
          <w:i w:val="false"/>
          <w:color w:val="000000"/>
        </w:rPr>
        <w:t xml:space="preserve">                    Проверочный лист в области изучения и использования недр</w:t>
      </w:r>
    </w:p>
    <w:bookmarkEnd w:id="92"/>
    <w:bookmarkStart w:name="z108" w:id="93"/>
    <w:p>
      <w:pPr>
        <w:spacing w:after="0"/>
        <w:ind w:left="0"/>
        <w:jc w:val="both"/>
      </w:pPr>
      <w:r>
        <w:rPr>
          <w:rFonts w:ascii="Times New Roman"/>
          <w:b w:val="false"/>
          <w:i w:val="false"/>
          <w:color w:val="000000"/>
          <w:sz w:val="28"/>
        </w:rPr>
        <w:t>
      в отношении недропользователей, осуществляющих разведку твердых полезных ископаемых</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Государственный орган, назначивший проверку_______________________________________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__________________________________________________________</w:t>
      </w:r>
      <w:r>
        <w:br/>
      </w:r>
      <w:r>
        <w:rPr>
          <w:rFonts w:ascii="Times New Roman"/>
          <w:b w:val="false"/>
          <w:i w:val="false"/>
          <w:color w:val="000000"/>
          <w:sz w:val="28"/>
        </w:rPr>
        <w:t>________________________________________________________________________________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7662"/>
        <w:gridCol w:w="921"/>
        <w:gridCol w:w="921"/>
        <w:gridCol w:w="922"/>
        <w:gridCol w:w="922"/>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разведки твердых полезных ископаемых в пределах участка недр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проектного документа, предусматривающего проведение операций по недропользованию</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работ по разведке твердых полезных ископаемых и отражение всех сведений, необходимых для достоверного изучения недр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возводить на участке разведки капитальных сооружений, а также размещать техногенных минеральных образований горно-перерабатывающих производств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операций по разведке твердых полезных ископаемых с применением видов, способов и методов работ, предусмотренных проектным документом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компетентного органа (государственного органа, являющегося стороной контракта и (или) выдавшего лицензию на недропользование) о внесении изменений в проектные документы в установленный срок</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по разведке твердых полезных ископаемых только после представления копии плана разведки уполномоченному органу в области твердых полезных ископаемых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проводить работы по разведке, не предусмотренных в плане разведки, представленном уполномоченному органу в области твердых полезных ископаемых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94"/>
    <w:p>
      <w:pPr>
        <w:spacing w:after="0"/>
        <w:ind w:left="0"/>
        <w:jc w:val="both"/>
      </w:pPr>
      <w:r>
        <w:rPr>
          <w:rFonts w:ascii="Times New Roman"/>
          <w:b w:val="false"/>
          <w:i w:val="false"/>
          <w:color w:val="000000"/>
          <w:sz w:val="28"/>
        </w:rPr>
        <w:t>
      Должностное (ые) лицо (а) _______________________________________ 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 __________________________________ 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2018 года № 779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2018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2015 года № 1222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2015 года № 796</w:t>
            </w:r>
          </w:p>
        </w:tc>
      </w:tr>
    </w:tbl>
    <w:bookmarkStart w:name="z112" w:id="95"/>
    <w:p>
      <w:pPr>
        <w:spacing w:after="0"/>
        <w:ind w:left="0"/>
        <w:jc w:val="left"/>
      </w:pPr>
      <w:r>
        <w:rPr>
          <w:rFonts w:ascii="Times New Roman"/>
          <w:b/>
          <w:i w:val="false"/>
          <w:color w:val="000000"/>
        </w:rPr>
        <w:t xml:space="preserve">                    Проверочный лист в области изучения и использования недр</w:t>
      </w:r>
    </w:p>
    <w:bookmarkEnd w:id="95"/>
    <w:bookmarkStart w:name="z113" w:id="96"/>
    <w:p>
      <w:pPr>
        <w:spacing w:after="0"/>
        <w:ind w:left="0"/>
        <w:jc w:val="both"/>
      </w:pPr>
      <w:r>
        <w:rPr>
          <w:rFonts w:ascii="Times New Roman"/>
          <w:b w:val="false"/>
          <w:i w:val="false"/>
          <w:color w:val="000000"/>
          <w:sz w:val="28"/>
        </w:rPr>
        <w:t>
      в отношении: недропользователей, осуществляющих добычу общераспространенных и</w:t>
      </w:r>
      <w:r>
        <w:br/>
      </w:r>
      <w:r>
        <w:rPr>
          <w:rFonts w:ascii="Times New Roman"/>
          <w:b w:val="false"/>
          <w:i w:val="false"/>
          <w:color w:val="000000"/>
          <w:sz w:val="28"/>
        </w:rPr>
        <w:t>твердых полезных ископаемых, за исключением урана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Государственный орган, назначивший проверку_______________________________________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__________________________________________________________</w:t>
      </w:r>
      <w:r>
        <w:br/>
      </w:r>
      <w:r>
        <w:rPr>
          <w:rFonts w:ascii="Times New Roman"/>
          <w:b w:val="false"/>
          <w:i w:val="false"/>
          <w:color w:val="000000"/>
          <w:sz w:val="28"/>
        </w:rPr>
        <w:t>________________________________________________________________________________</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7375"/>
        <w:gridCol w:w="887"/>
        <w:gridCol w:w="887"/>
        <w:gridCol w:w="887"/>
        <w:gridCol w:w="888"/>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добычи в пределах участка недр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всех работ по добыче. Документация должна содержать описание работ, необходимое для достоверного изучения и последующего освоения участка недр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достоверного учета добытых полезных ископаемых, отходов производства, образующихся при добыче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маркшейдерской документации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Размещения техногенных минеральных образований горно-добывающих и горно-перерабатывающих (обогатительных) производств в пределах участков недр, находящихся в пользовании по лицензии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проектного документа, предусматривающего проведение операций по недропользованию</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согласований плана горных работ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операций по добыче, с применением видов, способов и методов работ, предусмотренных проектным документом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компетентного органа (государственного органа, являющегося стороной контракта и (или) выдавшего лицензию на недропользование) о внесении изменений в проектные документы в установленный срок</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проводить работы по измененному плану горных работ до его представления уполномоченному органу в области твердых полезных ископаемых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97"/>
    <w:p>
      <w:pPr>
        <w:spacing w:after="0"/>
        <w:ind w:left="0"/>
        <w:jc w:val="both"/>
      </w:pPr>
      <w:r>
        <w:rPr>
          <w:rFonts w:ascii="Times New Roman"/>
          <w:b w:val="false"/>
          <w:i w:val="false"/>
          <w:color w:val="000000"/>
          <w:sz w:val="28"/>
        </w:rPr>
        <w:t>
      Должностное (ые) лицо (а) _______________________________________ 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 __________________________________ 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2018 года № 779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2018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2015 года № 1222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2015 года № 796</w:t>
            </w:r>
          </w:p>
        </w:tc>
      </w:tr>
    </w:tbl>
    <w:bookmarkStart w:name="z117" w:id="98"/>
    <w:p>
      <w:pPr>
        <w:spacing w:after="0"/>
        <w:ind w:left="0"/>
        <w:jc w:val="left"/>
      </w:pPr>
      <w:r>
        <w:rPr>
          <w:rFonts w:ascii="Times New Roman"/>
          <w:b/>
          <w:i w:val="false"/>
          <w:color w:val="000000"/>
        </w:rPr>
        <w:t xml:space="preserve">                    Проверочный лист в области изучения и использования недр</w:t>
      </w:r>
    </w:p>
    <w:bookmarkEnd w:id="98"/>
    <w:bookmarkStart w:name="z118" w:id="99"/>
    <w:p>
      <w:pPr>
        <w:spacing w:after="0"/>
        <w:ind w:left="0"/>
        <w:jc w:val="both"/>
      </w:pPr>
      <w:r>
        <w:rPr>
          <w:rFonts w:ascii="Times New Roman"/>
          <w:b w:val="false"/>
          <w:i w:val="false"/>
          <w:color w:val="000000"/>
          <w:sz w:val="28"/>
        </w:rPr>
        <w:t>
      в отношении: недропользователей, осуществляющих использование пространства недр</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Государственный орган, назначивший проверку_______________________________________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 дата</w:t>
      </w:r>
    </w:p>
    <w:bookmarkEnd w:id="99"/>
    <w:bookmarkStart w:name="z119" w:id="100"/>
    <w:p>
      <w:pPr>
        <w:spacing w:after="0"/>
        <w:ind w:left="0"/>
        <w:jc w:val="both"/>
      </w:pPr>
      <w:r>
        <w:rPr>
          <w:rFonts w:ascii="Times New Roman"/>
          <w:b w:val="false"/>
          <w:i w:val="false"/>
          <w:color w:val="000000"/>
          <w:sz w:val="28"/>
        </w:rPr>
        <w:t>
      Наименование субъекта (объекта) контроля 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7934"/>
        <w:gridCol w:w="867"/>
        <w:gridCol w:w="867"/>
        <w:gridCol w:w="868"/>
        <w:gridCol w:w="868"/>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пространства недр в пределах участка недр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проектного документа, предусматривающего проведение операций по недропользованию</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пространства недр в соответствии с проектным документом</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достоверного учета при хранении и (или) захоронении твердых, жидких и радиоактивных отходов, вредных ядовитых веществ, сбросе (закачке) сточных, промышленных и технических вод</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техногенных минеральных образований горно-добывающих и горно-перерабатывающих (обогатительных) производств в пределах участков недр, находящихся в пользовании по лицензии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01"/>
    <w:p>
      <w:pPr>
        <w:spacing w:after="0"/>
        <w:ind w:left="0"/>
        <w:jc w:val="both"/>
      </w:pPr>
      <w:r>
        <w:rPr>
          <w:rFonts w:ascii="Times New Roman"/>
          <w:b w:val="false"/>
          <w:i w:val="false"/>
          <w:color w:val="000000"/>
          <w:sz w:val="28"/>
        </w:rPr>
        <w:t>
      Должностное (ые) лицо (а) _______________________________________ 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 __________________________________ 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2018 года № 779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2018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2015 года № 1222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2015 года № 796</w:t>
            </w:r>
          </w:p>
        </w:tc>
      </w:tr>
    </w:tbl>
    <w:bookmarkStart w:name="z123" w:id="102"/>
    <w:p>
      <w:pPr>
        <w:spacing w:after="0"/>
        <w:ind w:left="0"/>
        <w:jc w:val="left"/>
      </w:pPr>
      <w:r>
        <w:rPr>
          <w:rFonts w:ascii="Times New Roman"/>
          <w:b/>
          <w:i w:val="false"/>
          <w:color w:val="000000"/>
        </w:rPr>
        <w:t xml:space="preserve">                    Проверочный лист в области изучения и использования недр</w:t>
      </w:r>
    </w:p>
    <w:bookmarkEnd w:id="102"/>
    <w:bookmarkStart w:name="z124" w:id="103"/>
    <w:p>
      <w:pPr>
        <w:spacing w:after="0"/>
        <w:ind w:left="0"/>
        <w:jc w:val="both"/>
      </w:pPr>
      <w:r>
        <w:rPr>
          <w:rFonts w:ascii="Times New Roman"/>
          <w:b w:val="false"/>
          <w:i w:val="false"/>
          <w:color w:val="000000"/>
          <w:sz w:val="28"/>
        </w:rPr>
        <w:t>
      в отношении: недропользователей, осуществляющих старательство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Государственный орган, назначивший проверку______________________________________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________________________________________________________</w:t>
      </w:r>
      <w:r>
        <w:br/>
      </w:r>
      <w:r>
        <w:rPr>
          <w:rFonts w:ascii="Times New Roman"/>
          <w:b w:val="false"/>
          <w:i w:val="false"/>
          <w:color w:val="000000"/>
          <w:sz w:val="28"/>
        </w:rPr>
        <w:t>______________________________________________________________________________</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631"/>
        <w:gridCol w:w="729"/>
        <w:gridCol w:w="729"/>
        <w:gridCol w:w="729"/>
        <w:gridCol w:w="729"/>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старательства в пределах участка недр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использовать экскаваторы и бульдозеры на водных объектах и землях водного фонда, приходящихся на участок старательства, применять химические реагенты и взрывчатые веществ, возводить и строить капитальные сооружения, вывозить за пределы участка старательства грунт и извлеченную горную массу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ограничения по использованию средств механизации, предусмотренные условиями лицензии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периодического отчета о добытых драгоценных металлах и драгоценных камнях местному исполнительному органу области, выдавшему лицензию на старательство</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Наличии плана старательства при использовании средств механизации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04"/>
    <w:p>
      <w:pPr>
        <w:spacing w:after="0"/>
        <w:ind w:left="0"/>
        <w:jc w:val="both"/>
      </w:pPr>
      <w:r>
        <w:rPr>
          <w:rFonts w:ascii="Times New Roman"/>
          <w:b w:val="false"/>
          <w:i w:val="false"/>
          <w:color w:val="000000"/>
          <w:sz w:val="28"/>
        </w:rPr>
        <w:t>
      Должностное (ые) лицо (а) _______________________________________ 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 __________________________________ 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2018 года № 779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2018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2015 года № 1222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2015 года № 796</w:t>
            </w:r>
          </w:p>
        </w:tc>
      </w:tr>
    </w:tbl>
    <w:bookmarkStart w:name="z128" w:id="105"/>
    <w:p>
      <w:pPr>
        <w:spacing w:after="0"/>
        <w:ind w:left="0"/>
        <w:jc w:val="left"/>
      </w:pPr>
      <w:r>
        <w:rPr>
          <w:rFonts w:ascii="Times New Roman"/>
          <w:b/>
          <w:i w:val="false"/>
          <w:color w:val="000000"/>
        </w:rPr>
        <w:t xml:space="preserve">                    Проверочный лист в области изучения и использования недр</w:t>
      </w:r>
    </w:p>
    <w:bookmarkEnd w:id="105"/>
    <w:bookmarkStart w:name="z129" w:id="106"/>
    <w:p>
      <w:pPr>
        <w:spacing w:after="0"/>
        <w:ind w:left="0"/>
        <w:jc w:val="both"/>
      </w:pPr>
      <w:r>
        <w:rPr>
          <w:rFonts w:ascii="Times New Roman"/>
          <w:b w:val="false"/>
          <w:i w:val="false"/>
          <w:color w:val="000000"/>
          <w:sz w:val="28"/>
        </w:rPr>
        <w:t xml:space="preserve">
      в отношении: недропользователей, осуществляющих учет, хранение, обеспечение </w:t>
      </w:r>
      <w:r>
        <w:br/>
      </w:r>
      <w:r>
        <w:rPr>
          <w:rFonts w:ascii="Times New Roman"/>
          <w:b w:val="false"/>
          <w:i w:val="false"/>
          <w:color w:val="000000"/>
          <w:sz w:val="28"/>
        </w:rPr>
        <w:t>сохранности и достоверности геологической информации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Государственный орган, назначивший проверку______________________________________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7958"/>
        <w:gridCol w:w="782"/>
        <w:gridCol w:w="782"/>
        <w:gridCol w:w="782"/>
        <w:gridCol w:w="78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учета и сохранности геологической информации и ее носителей, полученных в результате проведения операций по недропользованию, а также беспрепятственного доступа к ним представителям уполномоченного органа по изучению недр для исследования или проверки</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отчуждать природные носители геологической информации, полученные в результате проведения операций по недропользованию, в период действия контракта или лицензии на недропользование, за исключением случаев, предусмотренных Кодексом</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отчетности об операциях по недропользованию в случаях, предусмотренных Кодексом</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7"/>
          <w:p>
            <w:pPr>
              <w:spacing w:after="20"/>
              <w:ind w:left="20"/>
              <w:jc w:val="both"/>
            </w:pPr>
            <w:r>
              <w:rPr>
                <w:rFonts w:ascii="Times New Roman"/>
                <w:b w:val="false"/>
                <w:i w:val="false"/>
                <w:color w:val="000000"/>
                <w:sz w:val="20"/>
              </w:rPr>
              <w:t>
Обеспечение при проведении геологического изучения недр:</w:t>
            </w:r>
            <w:r>
              <w:br/>
            </w:r>
            <w:r>
              <w:rPr>
                <w:rFonts w:ascii="Times New Roman"/>
                <w:b w:val="false"/>
                <w:i w:val="false"/>
                <w:color w:val="000000"/>
                <w:sz w:val="20"/>
              </w:rPr>
              <w:t>
</w:t>
            </w:r>
            <w:r>
              <w:rPr>
                <w:rFonts w:ascii="Times New Roman"/>
                <w:b w:val="false"/>
                <w:i w:val="false"/>
                <w:color w:val="000000"/>
                <w:sz w:val="20"/>
              </w:rPr>
              <w:t>достоверности и сохранности геологической информации, полученной в ходе проведенных операций, включая данные лабораторных исследований и анализов;</w:t>
            </w:r>
            <w:r>
              <w:br/>
            </w:r>
            <w:r>
              <w:rPr>
                <w:rFonts w:ascii="Times New Roman"/>
                <w:b w:val="false"/>
                <w:i w:val="false"/>
                <w:color w:val="000000"/>
                <w:sz w:val="20"/>
              </w:rPr>
              <w:t>
</w:t>
            </w:r>
            <w:r>
              <w:rPr>
                <w:rFonts w:ascii="Times New Roman"/>
                <w:b w:val="false"/>
                <w:i w:val="false"/>
                <w:color w:val="000000"/>
                <w:sz w:val="20"/>
              </w:rPr>
              <w:t>своевременности и качества ведения геологической документации;</w:t>
            </w:r>
            <w:r>
              <w:br/>
            </w:r>
            <w:r>
              <w:rPr>
                <w:rFonts w:ascii="Times New Roman"/>
                <w:b w:val="false"/>
                <w:i w:val="false"/>
                <w:color w:val="000000"/>
                <w:sz w:val="20"/>
              </w:rPr>
              <w:t>
представления уполномоченному органу по изучению недр, выдавшему лицензию, в порядке и сроки, предусмотренные Кодексом, отчетов о работах, произведенных по участку геологического изучения, и геологического отчета по результатам таких работ</w:t>
            </w:r>
          </w:p>
          <w:bookmarkEnd w:id="107"/>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периодических геологических отчетов по лицензии на геологическое изучение недр, не позднее тридцатого апреля каждого года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 позднее трех месяцев со дня прекращения действия лицензии в уполномоченный орган по изучению недр окончательного отчета о результатах геологического изучения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безвозмездной передачи геологической информации, полученной недропользователем в результате геологического изучения в пользование уполномоченному органу по изучению недр в течение месяца со дня окончания срока лицензии</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8"/>
          <w:p>
            <w:pPr>
              <w:spacing w:after="20"/>
              <w:ind w:left="20"/>
              <w:jc w:val="both"/>
            </w:pPr>
            <w:r>
              <w:rPr>
                <w:rFonts w:ascii="Times New Roman"/>
                <w:b w:val="false"/>
                <w:i w:val="false"/>
                <w:color w:val="000000"/>
                <w:sz w:val="20"/>
              </w:rPr>
              <w:t>
Обеспечение при проведении операций по разведке:</w:t>
            </w:r>
            <w:r>
              <w:br/>
            </w:r>
            <w:r>
              <w:rPr>
                <w:rFonts w:ascii="Times New Roman"/>
                <w:b w:val="false"/>
                <w:i w:val="false"/>
                <w:color w:val="000000"/>
                <w:sz w:val="20"/>
              </w:rPr>
              <w:t>
</w:t>
            </w:r>
            <w:r>
              <w:rPr>
                <w:rFonts w:ascii="Times New Roman"/>
                <w:b w:val="false"/>
                <w:i w:val="false"/>
                <w:color w:val="000000"/>
                <w:sz w:val="20"/>
              </w:rPr>
              <w:t>достоверности и сохранности всей первичной геологической информации, полученной в ходе разведки, включая данные лабораторных исследований и анализов;</w:t>
            </w:r>
            <w:r>
              <w:br/>
            </w:r>
            <w:r>
              <w:rPr>
                <w:rFonts w:ascii="Times New Roman"/>
                <w:b w:val="false"/>
                <w:i w:val="false"/>
                <w:color w:val="000000"/>
                <w:sz w:val="20"/>
              </w:rPr>
              <w:t>
своевременности и качества ведения геологической документации (в том числе планов опробования, геологических карт и разрезов к ним, нанесения геологических контуров рудных тел, зон, зарисовок горно-разведочных выработок)</w:t>
            </w:r>
          </w:p>
          <w:bookmarkEnd w:id="108"/>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 лицензии на разведку периодических геологических отчетов</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по изучению недр окончательного отчета о результатах геологоразведочных работ на участке разведки не позднее трех месяцев со дня прекращения действия лицензии</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достоверности и сохранности всей первичной и вторичной геологической информации, полученной при добыче, включая данные лабораторных исследований и анализов</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9"/>
          <w:p>
            <w:pPr>
              <w:spacing w:after="20"/>
              <w:ind w:left="20"/>
              <w:jc w:val="both"/>
            </w:pPr>
            <w:r>
              <w:rPr>
                <w:rFonts w:ascii="Times New Roman"/>
                <w:b w:val="false"/>
                <w:i w:val="false"/>
                <w:color w:val="000000"/>
                <w:sz w:val="20"/>
              </w:rPr>
              <w:t>
Предоставление по лицензии на добычу следующих периодических отчетов:</w:t>
            </w:r>
            <w:r>
              <w:br/>
            </w:r>
            <w:r>
              <w:rPr>
                <w:rFonts w:ascii="Times New Roman"/>
                <w:b w:val="false"/>
                <w:i w:val="false"/>
                <w:color w:val="000000"/>
                <w:sz w:val="20"/>
              </w:rPr>
              <w:t>
</w:t>
            </w:r>
            <w:r>
              <w:rPr>
                <w:rFonts w:ascii="Times New Roman"/>
                <w:b w:val="false"/>
                <w:i w:val="false"/>
                <w:color w:val="000000"/>
                <w:sz w:val="20"/>
              </w:rPr>
              <w:t>1) геологические отчеты;</w:t>
            </w:r>
            <w:r>
              <w:br/>
            </w:r>
            <w:r>
              <w:rPr>
                <w:rFonts w:ascii="Times New Roman"/>
                <w:b w:val="false"/>
                <w:i w:val="false"/>
                <w:color w:val="000000"/>
                <w:sz w:val="20"/>
              </w:rPr>
              <w:t>
2) отчет о добытых полезных ископаемых</w:t>
            </w:r>
          </w:p>
          <w:bookmarkEnd w:id="109"/>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уполномоченному органу по изучению недр отчетов об эксплуатации подземного сооружения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всех работ по использованию пространства недр. Документация должна содержать описание работ, необходимое для достоверного изучения и последующего освоения участка недр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достоверности и сохранности всей первичной и вторичной геологической информации, полученной при использовании пространства недр, включая данные лабораторных исследований и анализов</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10"/>
    <w:p>
      <w:pPr>
        <w:spacing w:after="0"/>
        <w:ind w:left="0"/>
        <w:jc w:val="both"/>
      </w:pPr>
      <w:r>
        <w:rPr>
          <w:rFonts w:ascii="Times New Roman"/>
          <w:b w:val="false"/>
          <w:i w:val="false"/>
          <w:color w:val="000000"/>
          <w:sz w:val="28"/>
        </w:rPr>
        <w:t>
      Должностное (ые) лицо (а) _______________________________________ 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 __________________________________ 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