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8371" w14:textId="3838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 февраля 2018 года № 118 "Об утверждении Правил применения системы управления рисками в целях подтверждения достоверности сумм превышения налога на добавленную стоимость и критериев степени риска"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ноября 2018 года № 1028. Зарегистрирован в Министерстве юстиции Республики Казахстан 28 ноября 2018 года № 17805. Утратил силу приказом Министра финансов Республики Казахстан от 28 марта 2022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28.03.2022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февраля 2018 года № 118 "Об утверждении Правил применения системы управления рисками в целях подтверждения достоверности сумм превышения налога на добавленную стоимость и критериев степени риска" (зарегистрирован в Реестре государственной регистрации нормативных правовых актов под № 16426, опубликован 5 марта 2018 года в Эталонном контрольном банке нормативных правовых актов)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системы управления рисками в целях подтверждения достоверности сумм превышения налога на добавленную стоимость и критериев степени риска,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Настоящие Правила применяются исключительно в отношении их непосредственных поставщиков по следующим налогоплательщикам: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имеющим право на применение упрощенного порядка возврата суммы превышения НДС (независимо от использования данного права);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реализующим инвестиционный проект в рамках республиканской карты индустриализации,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303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1418, стоимость которого составляет не менее 150 000 000 – кратный размер месячного расчетного показателя;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осуществляющим деятельность в рамках контракта на недропользование, заключенного в соответствии с законодательством Республики Казахстан, и имеющим средний коэффициент налоговой нагрузки не менее 20 процентов, рассчитанный за последние 5 лет, предшествующих налоговому периоду, в котором предъявлено требование о возврате превышения НДС;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осуществляющим разведку и (или) добычу углеводородов на море в рамках соглашения о разделе продукции,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Налогового кодекса;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использующим контрольный счет НДС только в той части суммы превышения НДС, сложившегося по приобретенным (полученным) товарам, при реализации которых расчет сумм НДС произведен с использованием контрольных счетов НДС.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суммарный итог баллов по указанным в настоящем пункте налогоплательщикам, полученный по результатам оценки с использованием критериев, приравнивается к нулю.".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2019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