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c3d68" w14:textId="14c3d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национальной экономики Республики Казахстан от 26 июля 2016 года № 332 "Об утверждении критериев оценки степени риска и проверочных листов в сферах естественных монополий и за соблюдением порядка ценообразования и обязанностей субъекта общественно значимого рынка"</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5 ноября 2018 года № 59. Зарегистрирован в Министерстве юстиции Республики Казахстан 26 ноября 2018 года № 17790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26 июля 2016 года № 332 "Об утверждении критериев оценки степени риска и проверочных листов в сферах естественных монополий и за соблюдением порядка ценообразования и обязанностей субъекта общественно значимого рынка" (зарегистрирован в Реестре государственной регистрации нормативных правовых актов за № 14167, опубликован 9 сентября 2016 года в информационно-правовой системе "Әділет")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2, </w:t>
      </w:r>
      <w:r>
        <w:rPr>
          <w:rFonts w:ascii="Times New Roman"/>
          <w:b w:val="false"/>
          <w:i w:val="false"/>
          <w:color w:val="000000"/>
          <w:sz w:val="28"/>
        </w:rPr>
        <w:t>3</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по регулированию естественных монополий, защите конкуренции и прав потребителей Министерства национальной экономики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5"/>
    <w:bookmarkStart w:name="z11"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End w:id="6"/>
    <w:bookmarkStart w:name="z12"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7"/>
    <w:bookmarkStart w:name="z13"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bookmarkStart w:name="z15"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Комитет по правовой статистике </w:t>
      </w:r>
      <w:r>
        <w:br/>
      </w:r>
      <w:r>
        <w:rPr>
          <w:rFonts w:ascii="Times New Roman"/>
          <w:b w:val="false"/>
          <w:i w:val="false"/>
          <w:color w:val="000000"/>
          <w:sz w:val="28"/>
        </w:rPr>
        <w:t>и специальным учетам</w:t>
      </w:r>
      <w:r>
        <w:br/>
      </w:r>
      <w:r>
        <w:rPr>
          <w:rFonts w:ascii="Times New Roman"/>
          <w:b w:val="false"/>
          <w:i w:val="false"/>
          <w:color w:val="000000"/>
          <w:sz w:val="28"/>
        </w:rPr>
        <w:t>Генеральной прокуратуры</w:t>
      </w:r>
      <w:r>
        <w:br/>
      </w:r>
      <w:r>
        <w:rPr>
          <w:rFonts w:ascii="Times New Roman"/>
          <w:b w:val="false"/>
          <w:i w:val="false"/>
          <w:color w:val="000000"/>
          <w:sz w:val="28"/>
        </w:rPr>
        <w:t>Республики Казахстан</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ноября 2018 года № 59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июля 2016 года № 332</w:t>
            </w:r>
          </w:p>
        </w:tc>
      </w:tr>
    </w:tbl>
    <w:bookmarkStart w:name="z18" w:id="10"/>
    <w:p>
      <w:pPr>
        <w:spacing w:after="0"/>
        <w:ind w:left="0"/>
        <w:jc w:val="left"/>
      </w:pPr>
      <w:r>
        <w:rPr>
          <w:rFonts w:ascii="Times New Roman"/>
          <w:b/>
          <w:i w:val="false"/>
          <w:color w:val="000000"/>
        </w:rPr>
        <w:t xml:space="preserve"> Критерии оценки степени риска в сферах естественных монополий и за соблюдением порядка ценообразования и обязанностей субъекта общественно значимого рынка</w:t>
      </w:r>
    </w:p>
    <w:bookmarkEnd w:id="10"/>
    <w:bookmarkStart w:name="z19" w:id="11"/>
    <w:p>
      <w:pPr>
        <w:spacing w:after="0"/>
        <w:ind w:left="0"/>
        <w:jc w:val="left"/>
      </w:pPr>
      <w:r>
        <w:rPr>
          <w:rFonts w:ascii="Times New Roman"/>
          <w:b/>
          <w:i w:val="false"/>
          <w:color w:val="000000"/>
        </w:rPr>
        <w:t xml:space="preserve"> Глава 1. Общие положения</w:t>
      </w:r>
    </w:p>
    <w:bookmarkEnd w:id="11"/>
    <w:bookmarkStart w:name="z20" w:id="12"/>
    <w:p>
      <w:pPr>
        <w:spacing w:after="0"/>
        <w:ind w:left="0"/>
        <w:jc w:val="both"/>
      </w:pPr>
      <w:r>
        <w:rPr>
          <w:rFonts w:ascii="Times New Roman"/>
          <w:b w:val="false"/>
          <w:i w:val="false"/>
          <w:color w:val="000000"/>
          <w:sz w:val="28"/>
        </w:rPr>
        <w:t xml:space="preserve">
      1. Настоящие критерии оценки степени риска в сферах естественных монополий и за соблюдением порядка ценообразования и обязанностей субъекта общественно значимого рынка (далее – Критерии) разработаны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от 29 октября 2015 года (далее –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июля 1998 года "О естественных монополиях" (далее – Закон) и </w:t>
      </w:r>
      <w:r>
        <w:rPr>
          <w:rFonts w:ascii="Times New Roman"/>
          <w:b w:val="false"/>
          <w:i w:val="false"/>
          <w:color w:val="000000"/>
          <w:sz w:val="28"/>
        </w:rPr>
        <w:t>Правилами</w:t>
      </w:r>
      <w:r>
        <w:rPr>
          <w:rFonts w:ascii="Times New Roman"/>
          <w:b w:val="false"/>
          <w:i w:val="false"/>
          <w:color w:val="000000"/>
          <w:sz w:val="28"/>
        </w:rPr>
        <w:t xml:space="preserve"> формирования государственными органами системы оценки рисков и формы проверочных листов, утвержденными приказом исполняющего обязанности Министра национальной экономики Республики Казахстан от 31 июля 2018 года № 3 (зарегистрирован в Реестре государственной регистрации нормативных правовых актов за № 17371).</w:t>
      </w:r>
    </w:p>
    <w:bookmarkEnd w:id="12"/>
    <w:bookmarkStart w:name="z21" w:id="13"/>
    <w:p>
      <w:pPr>
        <w:spacing w:after="0"/>
        <w:ind w:left="0"/>
        <w:jc w:val="both"/>
      </w:pPr>
      <w:r>
        <w:rPr>
          <w:rFonts w:ascii="Times New Roman"/>
          <w:b w:val="false"/>
          <w:i w:val="false"/>
          <w:color w:val="000000"/>
          <w:sz w:val="28"/>
        </w:rPr>
        <w:t>
      2. В данных Критериях использованы следующие понятия:</w:t>
      </w:r>
    </w:p>
    <w:bookmarkEnd w:id="13"/>
    <w:bookmarkStart w:name="z22" w:id="14"/>
    <w:p>
      <w:pPr>
        <w:spacing w:after="0"/>
        <w:ind w:left="0"/>
        <w:jc w:val="both"/>
      </w:pPr>
      <w:r>
        <w:rPr>
          <w:rFonts w:ascii="Times New Roman"/>
          <w:b w:val="false"/>
          <w:i w:val="false"/>
          <w:color w:val="000000"/>
          <w:sz w:val="28"/>
        </w:rPr>
        <w:t>
      1) субъект контроля – индивидуальные предприниматели и юридические лица, в том числе филиалы и представительства юридических лиц, являющиеся субъектами естественной монополии и (или) общественно значимых рынков;</w:t>
      </w:r>
    </w:p>
    <w:bookmarkEnd w:id="14"/>
    <w:bookmarkStart w:name="z23" w:id="15"/>
    <w:p>
      <w:pPr>
        <w:spacing w:after="0"/>
        <w:ind w:left="0"/>
        <w:jc w:val="both"/>
      </w:pPr>
      <w:r>
        <w:rPr>
          <w:rFonts w:ascii="Times New Roman"/>
          <w:b w:val="false"/>
          <w:i w:val="false"/>
          <w:color w:val="000000"/>
          <w:sz w:val="28"/>
        </w:rPr>
        <w:t>
      2) незначительные нарушения – ненадлежащее размещение, доведение до сведения и уведомление потребителей и предоставление субъектами естественных монополий и общественно значимых рынков информации, отчета, уведомлений, за исключением направления предварительного уведомления в соответствии со </w:t>
      </w:r>
      <w:r>
        <w:rPr>
          <w:rFonts w:ascii="Times New Roman"/>
          <w:b w:val="false"/>
          <w:i w:val="false"/>
          <w:color w:val="000000"/>
          <w:sz w:val="28"/>
        </w:rPr>
        <w:t>статьей 18-1</w:t>
      </w:r>
      <w:r>
        <w:rPr>
          <w:rFonts w:ascii="Times New Roman"/>
          <w:b w:val="false"/>
          <w:i w:val="false"/>
          <w:color w:val="000000"/>
          <w:sz w:val="28"/>
        </w:rPr>
        <w:t xml:space="preserve"> Закона, которое относится к значительным нарушениям, сведений, несоблюдение стандартов оказания услуг и не проведение ежегодного аудита;</w:t>
      </w:r>
    </w:p>
    <w:bookmarkEnd w:id="15"/>
    <w:bookmarkStart w:name="z24" w:id="16"/>
    <w:p>
      <w:pPr>
        <w:spacing w:after="0"/>
        <w:ind w:left="0"/>
        <w:jc w:val="both"/>
      </w:pPr>
      <w:r>
        <w:rPr>
          <w:rFonts w:ascii="Times New Roman"/>
          <w:b w:val="false"/>
          <w:i w:val="false"/>
          <w:color w:val="000000"/>
          <w:sz w:val="28"/>
        </w:rPr>
        <w:t>
      3) значительные нарушения – неисполнение или ненадлежащее исполнение субъектами естественных монополий и общественно значимых рынков обязанностей и ограничений, регламентированных законодательством Республики Казахстан о естественных монополиях, за исключением обязанностей и ограничений предусматривающих получение необоснованного дохода (выручка); предоставление не равных условий потребителям регулируемых услуг (товаров, работ); наличие одной подтвержденной жалобы или обращения по несоблюдению требований законодательства Республики Казахстан о естественных монополиях и общественно значимых рынках;</w:t>
      </w:r>
    </w:p>
    <w:bookmarkEnd w:id="16"/>
    <w:bookmarkStart w:name="z25" w:id="17"/>
    <w:p>
      <w:pPr>
        <w:spacing w:after="0"/>
        <w:ind w:left="0"/>
        <w:jc w:val="both"/>
      </w:pPr>
      <w:r>
        <w:rPr>
          <w:rFonts w:ascii="Times New Roman"/>
          <w:b w:val="false"/>
          <w:i w:val="false"/>
          <w:color w:val="000000"/>
          <w:sz w:val="28"/>
        </w:rPr>
        <w:t>
      4) грубые нарушения – необоснованный доход (выручка), полученный субъектами естественных монополий и общественно значимых рынков в результате нарушения законодательства Республики Казахстан; не соблюдение субъектами требования о предоставлении равных условий потребителям регулируемых услуг (товаров, работ); наличие двух или более подтвержденных жалоб или обращений по несоблюдению требований законодательства Республики Казахстан о естественных монополиях и общественно значимых рынках;</w:t>
      </w:r>
    </w:p>
    <w:bookmarkEnd w:id="17"/>
    <w:bookmarkStart w:name="z26" w:id="18"/>
    <w:p>
      <w:pPr>
        <w:spacing w:after="0"/>
        <w:ind w:left="0"/>
        <w:jc w:val="both"/>
      </w:pPr>
      <w:r>
        <w:rPr>
          <w:rFonts w:ascii="Times New Roman"/>
          <w:b w:val="false"/>
          <w:i w:val="false"/>
          <w:color w:val="000000"/>
          <w:sz w:val="28"/>
        </w:rPr>
        <w:t>
      5) риск в сфере предоставления услуг (товаров, работ), отнесенных к естественным монополиям и общественно значимых рынков – вероятность причинения вреда законным интересам физических и юридических лиц;</w:t>
      </w:r>
    </w:p>
    <w:bookmarkEnd w:id="18"/>
    <w:bookmarkStart w:name="z27" w:id="19"/>
    <w:p>
      <w:pPr>
        <w:spacing w:after="0"/>
        <w:ind w:left="0"/>
        <w:jc w:val="both"/>
      </w:pPr>
      <w:r>
        <w:rPr>
          <w:rFonts w:ascii="Times New Roman"/>
          <w:b w:val="false"/>
          <w:i w:val="false"/>
          <w:color w:val="000000"/>
          <w:sz w:val="28"/>
        </w:rPr>
        <w:t xml:space="preserve">
      6)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в зависимости от степени риска в определенной сфере деятельности и не зависящие непосредственно от отдельного субъекта (объекта) контроля; </w:t>
      </w:r>
    </w:p>
    <w:bookmarkEnd w:id="19"/>
    <w:bookmarkStart w:name="z28" w:id="20"/>
    <w:p>
      <w:pPr>
        <w:spacing w:after="0"/>
        <w:ind w:left="0"/>
        <w:jc w:val="both"/>
      </w:pPr>
      <w:r>
        <w:rPr>
          <w:rFonts w:ascii="Times New Roman"/>
          <w:b w:val="false"/>
          <w:i w:val="false"/>
          <w:color w:val="000000"/>
          <w:sz w:val="28"/>
        </w:rPr>
        <w:t>
      7)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в зависимости от результатов деятельности конкретного субъекта (объекта) контроля;</w:t>
      </w:r>
    </w:p>
    <w:bookmarkEnd w:id="20"/>
    <w:bookmarkStart w:name="z29" w:id="21"/>
    <w:p>
      <w:pPr>
        <w:spacing w:after="0"/>
        <w:ind w:left="0"/>
        <w:jc w:val="both"/>
      </w:pPr>
      <w:r>
        <w:rPr>
          <w:rFonts w:ascii="Times New Roman"/>
          <w:b w:val="false"/>
          <w:i w:val="false"/>
          <w:color w:val="000000"/>
          <w:sz w:val="28"/>
        </w:rPr>
        <w:t>
      8) система оценки рисков – комплекс мероприятий, проводимых органом контроля с целью назначения профилактического контроля с посещением субъекта (объекта) контроля;</w:t>
      </w:r>
    </w:p>
    <w:bookmarkEnd w:id="21"/>
    <w:bookmarkStart w:name="z30" w:id="22"/>
    <w:p>
      <w:pPr>
        <w:spacing w:after="0"/>
        <w:ind w:left="0"/>
        <w:jc w:val="both"/>
      </w:pPr>
      <w:r>
        <w:rPr>
          <w:rFonts w:ascii="Times New Roman"/>
          <w:b w:val="false"/>
          <w:i w:val="false"/>
          <w:color w:val="000000"/>
          <w:sz w:val="28"/>
        </w:rPr>
        <w:t>
      9) проверочный лист – перечень требований, включающий в себя требования, предъявляемые к деятельности субъектов (объектов) контроля, несоблюдение которых влечет за собой угрозу жизни и здоровью человека, окружающей среде, законным интересам физических и юридических лиц, государства.</w:t>
      </w:r>
    </w:p>
    <w:bookmarkEnd w:id="22"/>
    <w:bookmarkStart w:name="z31" w:id="23"/>
    <w:p>
      <w:pPr>
        <w:spacing w:after="0"/>
        <w:ind w:left="0"/>
        <w:jc w:val="both"/>
      </w:pPr>
      <w:r>
        <w:rPr>
          <w:rFonts w:ascii="Times New Roman"/>
          <w:b w:val="false"/>
          <w:i w:val="false"/>
          <w:color w:val="000000"/>
          <w:sz w:val="28"/>
        </w:rPr>
        <w:t>
      3. Профилактический контроль с посещением субъектов (объектов) контроля применяются в отношении субъекта контроля, отнесенного к высокой степени риска.</w:t>
      </w:r>
    </w:p>
    <w:bookmarkEnd w:id="23"/>
    <w:bookmarkStart w:name="z32" w:id="24"/>
    <w:p>
      <w:pPr>
        <w:spacing w:after="0"/>
        <w:ind w:left="0"/>
        <w:jc w:val="both"/>
      </w:pPr>
      <w:r>
        <w:rPr>
          <w:rFonts w:ascii="Times New Roman"/>
          <w:b w:val="false"/>
          <w:i w:val="false"/>
          <w:color w:val="000000"/>
          <w:sz w:val="28"/>
        </w:rPr>
        <w:t>
      Внеплановые проверки применяются в отношении субъектов (объектов) контроля, отнесенных к высокой и не высокой степени риска.</w:t>
      </w:r>
    </w:p>
    <w:bookmarkEnd w:id="24"/>
    <w:bookmarkStart w:name="z33" w:id="25"/>
    <w:p>
      <w:pPr>
        <w:spacing w:after="0"/>
        <w:ind w:left="0"/>
        <w:jc w:val="both"/>
      </w:pPr>
      <w:r>
        <w:rPr>
          <w:rFonts w:ascii="Times New Roman"/>
          <w:b w:val="false"/>
          <w:i w:val="false"/>
          <w:color w:val="000000"/>
          <w:sz w:val="28"/>
        </w:rPr>
        <w:t>
      4. Критерии оценки степени риска для профилактического контроля с посещением субъекта (объекта) контроля формируются посредством объективных и субъективных критериев.</w:t>
      </w:r>
    </w:p>
    <w:bookmarkEnd w:id="25"/>
    <w:bookmarkStart w:name="z34" w:id="26"/>
    <w:p>
      <w:pPr>
        <w:spacing w:after="0"/>
        <w:ind w:left="0"/>
        <w:jc w:val="left"/>
      </w:pPr>
      <w:r>
        <w:rPr>
          <w:rFonts w:ascii="Times New Roman"/>
          <w:b/>
          <w:i w:val="false"/>
          <w:color w:val="000000"/>
        </w:rPr>
        <w:t xml:space="preserve"> Глава 2. Объективные критерии</w:t>
      </w:r>
    </w:p>
    <w:bookmarkEnd w:id="26"/>
    <w:bookmarkStart w:name="z35" w:id="27"/>
    <w:p>
      <w:pPr>
        <w:spacing w:after="0"/>
        <w:ind w:left="0"/>
        <w:jc w:val="both"/>
      </w:pPr>
      <w:r>
        <w:rPr>
          <w:rFonts w:ascii="Times New Roman"/>
          <w:b w:val="false"/>
          <w:i w:val="false"/>
          <w:color w:val="000000"/>
          <w:sz w:val="28"/>
        </w:rPr>
        <w:t xml:space="preserve">
      5. В сферах естественных монополий и на общественно значимых рынках к высокой степени риска относятся субъекты естественных монополий включенные в Государственный регистр субъектов естественных монополий, осуществляющие регулируемые услуги отнесенные к сфере естественных монополий более одного календарного года и субъекты общественно значимого рынка. </w:t>
      </w:r>
    </w:p>
    <w:bookmarkEnd w:id="27"/>
    <w:bookmarkStart w:name="z36" w:id="28"/>
    <w:p>
      <w:pPr>
        <w:spacing w:after="0"/>
        <w:ind w:left="0"/>
        <w:jc w:val="both"/>
      </w:pPr>
      <w:r>
        <w:rPr>
          <w:rFonts w:ascii="Times New Roman"/>
          <w:b w:val="false"/>
          <w:i w:val="false"/>
          <w:color w:val="000000"/>
          <w:sz w:val="28"/>
        </w:rPr>
        <w:t xml:space="preserve">
      6. В сфере естественных монополий к субъектам (объектам) контроля, не отнесенным к высокой степени риска относятся вновь созданные субъекты естественных монополий, оказывающие регулируемые услуги отнесенные к сфере естественных монополий менее одного календарного года. </w:t>
      </w:r>
    </w:p>
    <w:bookmarkEnd w:id="28"/>
    <w:bookmarkStart w:name="z37" w:id="29"/>
    <w:p>
      <w:pPr>
        <w:spacing w:after="0"/>
        <w:ind w:left="0"/>
        <w:jc w:val="left"/>
      </w:pPr>
      <w:r>
        <w:rPr>
          <w:rFonts w:ascii="Times New Roman"/>
          <w:b/>
          <w:i w:val="false"/>
          <w:color w:val="000000"/>
        </w:rPr>
        <w:t xml:space="preserve"> Глава 3. Субъективные критерии</w:t>
      </w:r>
    </w:p>
    <w:bookmarkEnd w:id="29"/>
    <w:bookmarkStart w:name="z38" w:id="30"/>
    <w:p>
      <w:pPr>
        <w:spacing w:after="0"/>
        <w:ind w:left="0"/>
        <w:jc w:val="both"/>
      </w:pPr>
      <w:r>
        <w:rPr>
          <w:rFonts w:ascii="Times New Roman"/>
          <w:b w:val="false"/>
          <w:i w:val="false"/>
          <w:color w:val="000000"/>
          <w:sz w:val="28"/>
        </w:rPr>
        <w:t>
      7. Для определения субъективных критериев оценки степени рисков используются следующие источники информации:</w:t>
      </w:r>
    </w:p>
    <w:bookmarkEnd w:id="30"/>
    <w:bookmarkStart w:name="z39" w:id="31"/>
    <w:p>
      <w:pPr>
        <w:spacing w:after="0"/>
        <w:ind w:left="0"/>
        <w:jc w:val="both"/>
      </w:pPr>
      <w:r>
        <w:rPr>
          <w:rFonts w:ascii="Times New Roman"/>
          <w:b w:val="false"/>
          <w:i w:val="false"/>
          <w:color w:val="000000"/>
          <w:sz w:val="28"/>
        </w:rPr>
        <w:t>
      1) результаты предыдущего профилактического контроля с посещением субъектов (объектов) контроля. При этом, степень тяжести (грубое, значительное, незначительное) устанавливается в случае несоблюдения требований законодательства, отраженных в проверочных листах;</w:t>
      </w:r>
    </w:p>
    <w:bookmarkEnd w:id="31"/>
    <w:bookmarkStart w:name="z40" w:id="32"/>
    <w:p>
      <w:pPr>
        <w:spacing w:after="0"/>
        <w:ind w:left="0"/>
        <w:jc w:val="both"/>
      </w:pPr>
      <w:r>
        <w:rPr>
          <w:rFonts w:ascii="Times New Roman"/>
          <w:b w:val="false"/>
          <w:i w:val="false"/>
          <w:color w:val="000000"/>
          <w:sz w:val="28"/>
        </w:rPr>
        <w:t>
      2) результаты мониторинга отчетности и сведений, представляемых субъектом (объектом) контроля, проводимого уполномоченным органом и (или) другими государственными органами;</w:t>
      </w:r>
    </w:p>
    <w:bookmarkEnd w:id="32"/>
    <w:bookmarkStart w:name="z41" w:id="33"/>
    <w:p>
      <w:pPr>
        <w:spacing w:after="0"/>
        <w:ind w:left="0"/>
        <w:jc w:val="both"/>
      </w:pPr>
      <w:r>
        <w:rPr>
          <w:rFonts w:ascii="Times New Roman"/>
          <w:b w:val="false"/>
          <w:i w:val="false"/>
          <w:color w:val="000000"/>
          <w:sz w:val="28"/>
        </w:rPr>
        <w:t>
      3) результаты анализа официальных интернет-ресурсов и средств массовой информации;</w:t>
      </w:r>
    </w:p>
    <w:bookmarkEnd w:id="33"/>
    <w:bookmarkStart w:name="z42" w:id="34"/>
    <w:p>
      <w:pPr>
        <w:spacing w:after="0"/>
        <w:ind w:left="0"/>
        <w:jc w:val="both"/>
      </w:pPr>
      <w:r>
        <w:rPr>
          <w:rFonts w:ascii="Times New Roman"/>
          <w:b w:val="false"/>
          <w:i w:val="false"/>
          <w:color w:val="000000"/>
          <w:sz w:val="28"/>
        </w:rPr>
        <w:t>
      4) наличие и количество подтвержденных жалоб и обращений на субъектов контроля, поступивших от физических или юридических лиц, государственных органов.</w:t>
      </w:r>
    </w:p>
    <w:bookmarkEnd w:id="34"/>
    <w:bookmarkStart w:name="z43" w:id="35"/>
    <w:p>
      <w:pPr>
        <w:spacing w:after="0"/>
        <w:ind w:left="0"/>
        <w:jc w:val="both"/>
      </w:pPr>
      <w:r>
        <w:rPr>
          <w:rFonts w:ascii="Times New Roman"/>
          <w:b w:val="false"/>
          <w:i w:val="false"/>
          <w:color w:val="000000"/>
          <w:sz w:val="28"/>
        </w:rPr>
        <w:t>
      8. На основании имеющихся источников информации субъективные критерии подразделяются на три степени нарушения: грубые, значительные, незначительные.</w:t>
      </w:r>
    </w:p>
    <w:bookmarkEnd w:id="35"/>
    <w:bookmarkStart w:name="z44" w:id="36"/>
    <w:p>
      <w:pPr>
        <w:spacing w:after="0"/>
        <w:ind w:left="0"/>
        <w:jc w:val="both"/>
      </w:pPr>
      <w:r>
        <w:rPr>
          <w:rFonts w:ascii="Times New Roman"/>
          <w:b w:val="false"/>
          <w:i w:val="false"/>
          <w:color w:val="000000"/>
          <w:sz w:val="28"/>
        </w:rPr>
        <w:t>
      Субъективные критерии определены для субъектов естественных монополий согласно приложению 1 и за соблюдением порядка ценообразования и обязанностей субъекта общественно значимого рынка согласно приложению 2 к настоящим Критериям.</w:t>
      </w:r>
    </w:p>
    <w:bookmarkEnd w:id="36"/>
    <w:bookmarkStart w:name="z45" w:id="37"/>
    <w:p>
      <w:pPr>
        <w:spacing w:after="0"/>
        <w:ind w:left="0"/>
        <w:jc w:val="both"/>
      </w:pPr>
      <w:r>
        <w:rPr>
          <w:rFonts w:ascii="Times New Roman"/>
          <w:b w:val="false"/>
          <w:i w:val="false"/>
          <w:color w:val="000000"/>
          <w:sz w:val="28"/>
        </w:rPr>
        <w:t>
      9. Для отнесения субъекта контроля к степени риска применяется следующий порядок расчета показателя степени риска.</w:t>
      </w:r>
    </w:p>
    <w:bookmarkEnd w:id="37"/>
    <w:bookmarkStart w:name="z46" w:id="38"/>
    <w:p>
      <w:pPr>
        <w:spacing w:after="0"/>
        <w:ind w:left="0"/>
        <w:jc w:val="both"/>
      </w:pPr>
      <w:r>
        <w:rPr>
          <w:rFonts w:ascii="Times New Roman"/>
          <w:b w:val="false"/>
          <w:i w:val="false"/>
          <w:color w:val="000000"/>
          <w:sz w:val="28"/>
        </w:rPr>
        <w:t>
      При выявлении одного грубого нарушения, субъекту контроля присваивается показатель степени риска 100 и в отношении него проводится профилактический контроль с посещением субъекта (объекта) контроля.</w:t>
      </w:r>
    </w:p>
    <w:bookmarkEnd w:id="38"/>
    <w:bookmarkStart w:name="z47" w:id="39"/>
    <w:p>
      <w:pPr>
        <w:spacing w:after="0"/>
        <w:ind w:left="0"/>
        <w:jc w:val="both"/>
      </w:pPr>
      <w:r>
        <w:rPr>
          <w:rFonts w:ascii="Times New Roman"/>
          <w:b w:val="false"/>
          <w:i w:val="false"/>
          <w:color w:val="000000"/>
          <w:sz w:val="28"/>
        </w:rPr>
        <w:t xml:space="preserve">
      В случае, если грубых нарушений не выявлено, то для определения показателя степени риска рассчитывается суммарный показатель по нарушениям значительной и незначительной степени. </w:t>
      </w:r>
    </w:p>
    <w:bookmarkEnd w:id="39"/>
    <w:bookmarkStart w:name="z48" w:id="40"/>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p>
    <w:bookmarkEnd w:id="40"/>
    <w:bookmarkStart w:name="z49" w:id="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Р3 =(</w:t>
      </w:r>
      <w:r>
        <w:rPr>
          <w:rFonts w:ascii="Times New Roman"/>
          <w:b w:val="false"/>
          <w:i w:val="false"/>
          <w:color w:val="000000"/>
          <w:sz w:val="28"/>
        </w:rPr>
        <w:t>S</w:t>
      </w:r>
      <w:r>
        <w:rPr>
          <w:rFonts w:ascii="Times New Roman"/>
          <w:b w:val="false"/>
          <w:i w:val="false"/>
          <w:color w:val="000000"/>
          <w:sz w:val="28"/>
        </w:rPr>
        <w:t>P2 х 100/</w:t>
      </w:r>
      <w:r>
        <w:rPr>
          <w:rFonts w:ascii="Times New Roman"/>
          <w:b w:val="false"/>
          <w:i w:val="false"/>
          <w:color w:val="000000"/>
          <w:sz w:val="28"/>
        </w:rPr>
        <w:t>S</w:t>
      </w:r>
      <w:r>
        <w:rPr>
          <w:rFonts w:ascii="Times New Roman"/>
          <w:b w:val="false"/>
          <w:i w:val="false"/>
          <w:color w:val="000000"/>
          <w:sz w:val="28"/>
        </w:rPr>
        <w:t>Р1) х 0,7,</w:t>
      </w:r>
    </w:p>
    <w:bookmarkEnd w:id="41"/>
    <w:bookmarkStart w:name="z50" w:id="42"/>
    <w:p>
      <w:pPr>
        <w:spacing w:after="0"/>
        <w:ind w:left="0"/>
        <w:jc w:val="both"/>
      </w:pPr>
      <w:r>
        <w:rPr>
          <w:rFonts w:ascii="Times New Roman"/>
          <w:b w:val="false"/>
          <w:i w:val="false"/>
          <w:color w:val="000000"/>
          <w:sz w:val="28"/>
        </w:rPr>
        <w:t>
      где:</w:t>
      </w:r>
    </w:p>
    <w:bookmarkEnd w:id="42"/>
    <w:bookmarkStart w:name="z51" w:id="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Рз – показатель значительных нарушений;</w:t>
      </w:r>
    </w:p>
    <w:bookmarkEnd w:id="43"/>
    <w:bookmarkStart w:name="z52" w:id="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Р1 – требуемое количество значительных нарушений;</w:t>
      </w:r>
    </w:p>
    <w:bookmarkEnd w:id="44"/>
    <w:bookmarkStart w:name="z53" w:id="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Р2 – количество выявленных значительных нарушений;</w:t>
      </w:r>
    </w:p>
    <w:bookmarkEnd w:id="45"/>
    <w:bookmarkStart w:name="z54" w:id="46"/>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 и данный показатель рассчитывается по следующей формуле:</w:t>
      </w:r>
    </w:p>
    <w:bookmarkEnd w:id="46"/>
    <w:bookmarkStart w:name="z55" w:id="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w:t>
      </w:r>
      <w:r>
        <w:rPr>
          <w:rFonts w:ascii="Times New Roman"/>
          <w:b w:val="false"/>
          <w:i w:val="false"/>
          <w:color w:val="000000"/>
          <w:sz w:val="28"/>
        </w:rPr>
        <w:t>S</w:t>
      </w:r>
      <w:r>
        <w:rPr>
          <w:rFonts w:ascii="Times New Roman"/>
          <w:b w:val="false"/>
          <w:i w:val="false"/>
          <w:color w:val="000000"/>
          <w:sz w:val="28"/>
        </w:rPr>
        <w:t>Р2 х 100/</w:t>
      </w:r>
      <w:r>
        <w:rPr>
          <w:rFonts w:ascii="Times New Roman"/>
          <w:b w:val="false"/>
          <w:i w:val="false"/>
          <w:color w:val="000000"/>
          <w:sz w:val="28"/>
        </w:rPr>
        <w:t>S</w:t>
      </w:r>
      <w:r>
        <w:rPr>
          <w:rFonts w:ascii="Times New Roman"/>
          <w:b w:val="false"/>
          <w:i w:val="false"/>
          <w:color w:val="000000"/>
          <w:sz w:val="28"/>
        </w:rPr>
        <w:t>Р1) х 0,3,</w:t>
      </w:r>
    </w:p>
    <w:bookmarkEnd w:id="47"/>
    <w:bookmarkStart w:name="z56" w:id="48"/>
    <w:p>
      <w:pPr>
        <w:spacing w:after="0"/>
        <w:ind w:left="0"/>
        <w:jc w:val="both"/>
      </w:pPr>
      <w:r>
        <w:rPr>
          <w:rFonts w:ascii="Times New Roman"/>
          <w:b w:val="false"/>
          <w:i w:val="false"/>
          <w:color w:val="000000"/>
          <w:sz w:val="28"/>
        </w:rPr>
        <w:t>
      где:</w:t>
      </w:r>
    </w:p>
    <w:bookmarkEnd w:id="48"/>
    <w:bookmarkStart w:name="z57" w:id="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показатель незначительных нарушений;</w:t>
      </w:r>
    </w:p>
    <w:bookmarkEnd w:id="49"/>
    <w:bookmarkStart w:name="z58" w:id="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Р1 – требуемое количество незначительных нарушений;</w:t>
      </w:r>
    </w:p>
    <w:bookmarkEnd w:id="50"/>
    <w:bookmarkStart w:name="z59" w:id="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Р2 – количество выявленных незначительных нарушений;</w:t>
      </w:r>
    </w:p>
    <w:bookmarkEnd w:id="51"/>
    <w:bookmarkStart w:name="z60" w:id="52"/>
    <w:p>
      <w:pPr>
        <w:spacing w:after="0"/>
        <w:ind w:left="0"/>
        <w:jc w:val="both"/>
      </w:pPr>
      <w:r>
        <w:rPr>
          <w:rFonts w:ascii="Times New Roman"/>
          <w:b w:val="false"/>
          <w:i w:val="false"/>
          <w:color w:val="000000"/>
          <w:sz w:val="28"/>
        </w:rPr>
        <w:t>
      Общий показатель степени риска (</w:t>
      </w:r>
      <w:r>
        <w:rPr>
          <w:rFonts w:ascii="Times New Roman"/>
          <w:b w:val="false"/>
          <w:i w:val="false"/>
          <w:color w:val="000000"/>
          <w:sz w:val="28"/>
        </w:rPr>
        <w:t>S</w:t>
      </w:r>
      <w:r>
        <w:rPr>
          <w:rFonts w:ascii="Times New Roman"/>
          <w:b w:val="false"/>
          <w:i w:val="false"/>
          <w:color w:val="000000"/>
          <w:sz w:val="28"/>
        </w:rPr>
        <w:t>Р) рассчитывается по шкале от 0 до 100 и определяется путем суммирования показателей значительных и незначительных нарушений по следующей формуле:</w:t>
      </w:r>
    </w:p>
    <w:bookmarkEnd w:id="52"/>
    <w:bookmarkStart w:name="z61" w:id="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Р = </w:t>
      </w:r>
      <w:r>
        <w:rPr>
          <w:rFonts w:ascii="Times New Roman"/>
          <w:b w:val="false"/>
          <w:i w:val="false"/>
          <w:color w:val="000000"/>
          <w:sz w:val="28"/>
        </w:rPr>
        <w:t>S</w:t>
      </w:r>
      <w:r>
        <w:rPr>
          <w:rFonts w:ascii="Times New Roman"/>
          <w:b w:val="false"/>
          <w:i w:val="false"/>
          <w:color w:val="000000"/>
          <w:sz w:val="28"/>
        </w:rPr>
        <w:t xml:space="preserve">Рз + </w:t>
      </w:r>
      <w:r>
        <w:rPr>
          <w:rFonts w:ascii="Times New Roman"/>
          <w:b w:val="false"/>
          <w:i w:val="false"/>
          <w:color w:val="000000"/>
          <w:sz w:val="28"/>
        </w:rPr>
        <w:t>S</w:t>
      </w:r>
      <w:r>
        <w:rPr>
          <w:rFonts w:ascii="Times New Roman"/>
          <w:b w:val="false"/>
          <w:i w:val="false"/>
          <w:color w:val="000000"/>
          <w:sz w:val="28"/>
        </w:rPr>
        <w:t>Рн ,</w:t>
      </w:r>
    </w:p>
    <w:bookmarkEnd w:id="53"/>
    <w:bookmarkStart w:name="z62" w:id="54"/>
    <w:p>
      <w:pPr>
        <w:spacing w:after="0"/>
        <w:ind w:left="0"/>
        <w:jc w:val="both"/>
      </w:pPr>
      <w:r>
        <w:rPr>
          <w:rFonts w:ascii="Times New Roman"/>
          <w:b w:val="false"/>
          <w:i w:val="false"/>
          <w:color w:val="000000"/>
          <w:sz w:val="28"/>
        </w:rPr>
        <w:t>
      где:</w:t>
      </w:r>
    </w:p>
    <w:bookmarkEnd w:id="54"/>
    <w:bookmarkStart w:name="z63" w:id="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 – общий показатель степени риска;</w:t>
      </w:r>
    </w:p>
    <w:bookmarkEnd w:id="55"/>
    <w:bookmarkStart w:name="z64" w:id="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Рз – показатель значительных нарушений;</w:t>
      </w:r>
    </w:p>
    <w:bookmarkEnd w:id="56"/>
    <w:bookmarkStart w:name="z65" w:id="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показатель незначительных нарушений.</w:t>
      </w:r>
    </w:p>
    <w:bookmarkEnd w:id="57"/>
    <w:bookmarkStart w:name="z66" w:id="58"/>
    <w:p>
      <w:pPr>
        <w:spacing w:after="0"/>
        <w:ind w:left="0"/>
        <w:jc w:val="both"/>
      </w:pPr>
      <w:r>
        <w:rPr>
          <w:rFonts w:ascii="Times New Roman"/>
          <w:b w:val="false"/>
          <w:i w:val="false"/>
          <w:color w:val="000000"/>
          <w:sz w:val="28"/>
        </w:rPr>
        <w:t>
      Субъективные критерии оценки степени риска для субъектов естественных монополий, субъективные критерии за соблюдением порядка ценообразования и обязанностей субъекта общественно значимого рынка приведены в приложениях 1, 2 к настоящим критериям.</w:t>
      </w:r>
    </w:p>
    <w:bookmarkEnd w:id="58"/>
    <w:bookmarkStart w:name="z67" w:id="59"/>
    <w:p>
      <w:pPr>
        <w:spacing w:after="0"/>
        <w:ind w:left="0"/>
        <w:jc w:val="both"/>
      </w:pPr>
      <w:r>
        <w:rPr>
          <w:rFonts w:ascii="Times New Roman"/>
          <w:b w:val="false"/>
          <w:i w:val="false"/>
          <w:color w:val="000000"/>
          <w:sz w:val="28"/>
        </w:rPr>
        <w:t>
      По показателям степени риска субъект (объект) контроля относится:</w:t>
      </w:r>
    </w:p>
    <w:bookmarkEnd w:id="59"/>
    <w:bookmarkStart w:name="z68" w:id="60"/>
    <w:p>
      <w:pPr>
        <w:spacing w:after="0"/>
        <w:ind w:left="0"/>
        <w:jc w:val="both"/>
      </w:pPr>
      <w:r>
        <w:rPr>
          <w:rFonts w:ascii="Times New Roman"/>
          <w:b w:val="false"/>
          <w:i w:val="false"/>
          <w:color w:val="000000"/>
          <w:sz w:val="28"/>
        </w:rPr>
        <w:t xml:space="preserve">
      1) к высокой степени риска –при показателе степени риска от 61 до 100 включительно и в отношении него проводится профилактический контроль с посещением субъекта (объекта) контроля; </w:t>
      </w:r>
    </w:p>
    <w:bookmarkEnd w:id="60"/>
    <w:bookmarkStart w:name="z69" w:id="61"/>
    <w:p>
      <w:pPr>
        <w:spacing w:after="0"/>
        <w:ind w:left="0"/>
        <w:jc w:val="both"/>
      </w:pPr>
      <w:r>
        <w:rPr>
          <w:rFonts w:ascii="Times New Roman"/>
          <w:b w:val="false"/>
          <w:i w:val="false"/>
          <w:color w:val="000000"/>
          <w:sz w:val="28"/>
        </w:rPr>
        <w:t>
      2) отнесенной к не высокой степени риска – при показателе степени риска от 0 до 60 и в отношении него не проводится профилактический контроль с посещением субъекта (объекта) контроля.</w:t>
      </w:r>
    </w:p>
    <w:bookmarkEnd w:id="61"/>
    <w:bookmarkStart w:name="z70" w:id="62"/>
    <w:p>
      <w:pPr>
        <w:spacing w:after="0"/>
        <w:ind w:left="0"/>
        <w:jc w:val="both"/>
      </w:pPr>
      <w:r>
        <w:rPr>
          <w:rFonts w:ascii="Times New Roman"/>
          <w:b w:val="false"/>
          <w:i w:val="false"/>
          <w:color w:val="000000"/>
          <w:sz w:val="28"/>
        </w:rPr>
        <w:t>
      10. При анализе и оценке не применяются данные субъективных критериев, ранее учтенных и использованных в отношении конкретного субъекта (объекта) контроля.</w:t>
      </w:r>
    </w:p>
    <w:bookmarkEnd w:id="62"/>
    <w:bookmarkStart w:name="z71" w:id="63"/>
    <w:p>
      <w:pPr>
        <w:spacing w:after="0"/>
        <w:ind w:left="0"/>
        <w:jc w:val="both"/>
      </w:pPr>
      <w:r>
        <w:rPr>
          <w:rFonts w:ascii="Times New Roman"/>
          <w:b w:val="false"/>
          <w:i w:val="false"/>
          <w:color w:val="000000"/>
          <w:sz w:val="28"/>
        </w:rPr>
        <w:t>
      11. Кратность проведения профилактического контроля с посещением субъекта (объекта) контроля определяется по результатам проводимого анализа и оценки получаемых сведений по субъективным критериям и не может быть чаще одного раза в год.</w:t>
      </w:r>
    </w:p>
    <w:bookmarkEnd w:id="63"/>
    <w:bookmarkStart w:name="z72" w:id="64"/>
    <w:p>
      <w:pPr>
        <w:spacing w:after="0"/>
        <w:ind w:left="0"/>
        <w:jc w:val="both"/>
      </w:pPr>
      <w:r>
        <w:rPr>
          <w:rFonts w:ascii="Times New Roman"/>
          <w:b w:val="false"/>
          <w:i w:val="false"/>
          <w:color w:val="000000"/>
          <w:sz w:val="28"/>
        </w:rPr>
        <w:t xml:space="preserve">
      12. Профилактический контроль с посещением субъекта (объекта) контроля проводятся на основании полугодовых списков профилактического контроля с посещением субъекта (объекта) контроля, формируемых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141 Кодекса.</w:t>
      </w:r>
    </w:p>
    <w:bookmarkEnd w:id="64"/>
    <w:bookmarkStart w:name="z73" w:id="65"/>
    <w:p>
      <w:pPr>
        <w:spacing w:after="0"/>
        <w:ind w:left="0"/>
        <w:jc w:val="both"/>
      </w:pPr>
      <w:r>
        <w:rPr>
          <w:rFonts w:ascii="Times New Roman"/>
          <w:b w:val="false"/>
          <w:i w:val="false"/>
          <w:color w:val="000000"/>
          <w:sz w:val="28"/>
        </w:rPr>
        <w:t>
      13. Списки профилактического контроля с посещением субъекта (объекта) контроля составляются с учетом приоритетности субъекта контроля с наибольшим показателем степени риска по субъективным критериям.</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сферах естественных</w:t>
            </w:r>
            <w:r>
              <w:br/>
            </w:r>
            <w:r>
              <w:rPr>
                <w:rFonts w:ascii="Times New Roman"/>
                <w:b w:val="false"/>
                <w:i w:val="false"/>
                <w:color w:val="000000"/>
                <w:sz w:val="20"/>
              </w:rPr>
              <w:t>монополий и за соблюдением</w:t>
            </w:r>
            <w:r>
              <w:br/>
            </w:r>
            <w:r>
              <w:rPr>
                <w:rFonts w:ascii="Times New Roman"/>
                <w:b w:val="false"/>
                <w:i w:val="false"/>
                <w:color w:val="000000"/>
                <w:sz w:val="20"/>
              </w:rPr>
              <w:t>порядка ценообразования</w:t>
            </w:r>
            <w:r>
              <w:br/>
            </w:r>
            <w:r>
              <w:rPr>
                <w:rFonts w:ascii="Times New Roman"/>
                <w:b w:val="false"/>
                <w:i w:val="false"/>
                <w:color w:val="000000"/>
                <w:sz w:val="20"/>
              </w:rPr>
              <w:t>и обязанностей субъекта</w:t>
            </w:r>
            <w:r>
              <w:br/>
            </w:r>
            <w:r>
              <w:rPr>
                <w:rFonts w:ascii="Times New Roman"/>
                <w:b w:val="false"/>
                <w:i w:val="false"/>
                <w:color w:val="000000"/>
                <w:sz w:val="20"/>
              </w:rPr>
              <w:t>общественно значимого рынка</w:t>
            </w:r>
          </w:p>
        </w:tc>
      </w:tr>
    </w:tbl>
    <w:bookmarkStart w:name="z75" w:id="66"/>
    <w:p>
      <w:pPr>
        <w:spacing w:after="0"/>
        <w:ind w:left="0"/>
        <w:jc w:val="left"/>
      </w:pPr>
      <w:r>
        <w:rPr>
          <w:rFonts w:ascii="Times New Roman"/>
          <w:b/>
          <w:i w:val="false"/>
          <w:color w:val="000000"/>
        </w:rPr>
        <w:t xml:space="preserve"> Субъективные критерии для субъектов естественных монополий</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803"/>
        <w:gridCol w:w="123"/>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Субъективные критерии</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 результатам предыдущего профилактического контроля с посещением субъекта (объекта) контроля (степень тяжести устанавливается при несоблюдении нижеперечисленных требований)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Доведение до сведения потребителя информации об изменении тарифов (цен, ставок сборов) или их предельных уровней не позднее чем за тридцать календарных дней до введения их в действие, а субъект естественной монополии малой мощности – не позднее чем за пятнадцать календарных дней до введения их в действие</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оказании услуги, технологически связанной с регулируемыми услугами (товарами, работами), в уполномоченный орган, не менее чем за пятнадцать календарных дней до ее осуществления</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по передаче принадлежащего на праве собственности или ином законном основании имущества, используемого в технологическом цикле при производстве и (или) предоставлении регулируемых услуг (товаров, работ), в доверительное управление, имущественный найм (аренду), включая лизинг</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по уступке права требования, связанного с предоставляемыми регулируемыми услугами (товарами, работами)</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о включении в тарифы (цены, ставки сборов) или их предельные уровни на регулируемые услуги (товары, работы) затрат, не связанных с их предоставлением</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по допущению нецелевого использования средств, предусмотренных в инвестиционных программах (проектах)</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о признании коммерческой тайной информации: содержащейся в тарифной смете, о затратах на приобретение и установку приборов учета регулируемых коммунальных услуг и механизме взимания платы, приобретении и установке приборов учета регулируемых коммунальных услуг, о предоставляемых регулируемых коммунальных услугах (товарах, работах)</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направлении на обеспечение энергосбережения и повышение энергоэффективности, создание новых, расширение, восстановление, обновление, поддержку, реконструкцию и техническое перевооружение производственных активов не менее пятидесяти процентов недоиспользованной части затрат, заложенных в тарифной смете, возникшей в результате экономии затрат в связи с применением более эффективных методов и технологий, реализацией плана мероприятий по энергосбережению и повышению энергоэффективности, разработанного по итогам энергоаудита, проведением мероприятий по снижению нормативных технических потерь или сокращением объемов оказываемых регулируемых услуг по причинам, не зависящим от субъекта естественной монополии, или по результатам проведения конкурсных (тендерных) процедур</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осуществления закупок услуг (товаров, работ), затраты на которые учитываются при утверждении тарифа (цены, ставки сбора) или его предельного уровня и тарифных смет на регулируемые услуги (товары, работы) субъекта</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раздельного учета доходов, затрат и задействованных активов по каждому виду регулируемых услуг (товаров, работ) и в целом по иной деятельности</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в соответствии с типовыми договорами, утвержденными уполномоченным органом, индивидуальных договоров с потребителями на каждый вид предоставляемых регулируемых коммунальных услуг (товаров, работ), а также на каждый вид и (или) совокупность иных предоставляемых регулируемых услуг (товаров, работ)</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в соответствии с типовыми договорами сотрудничества, утвержденными постановлением Правительства Республики Казахстан, договоров сотрудничества с органом управления объектом кондоминиума на каждый вид предоставляемых им регулируемых коммунальных услуг (товаров, работ)</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тарифов (цен, ставок сборов) или их предельных уровней на предоставляемые регулируемые услуги (товары, работы) для всех потребителей в случае соответствующего изменения налогового законодательства Республики Казахстан, в результате которого стоимость затрат субъекта естественных монополий уменьшается, со дня введения в действие указанных изменений</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обязанности об отчуждении имущества, предназначенного для производства и предоставления регулируемых услуг (товаров, работ), на торгах в форме тендера, за исключением случаев передачи имущества в собственность государства, а также передачи электрических сетей субъектами естественной монополии, оказывающими услугу по передаче электрической энергии</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разработанной методики ведения раздельного учета доходов, затрат и задействованных активов по видам регулируемых услуг субъектов естественных монополий</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допущение наличия сверхнормативных потерь</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уровня нормативных технических потерь на величину и в сроки, определенные уполномоченным органом</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7"/>
          <w:p>
            <w:pPr>
              <w:spacing w:after="20"/>
              <w:ind w:left="20"/>
              <w:jc w:val="both"/>
            </w:pPr>
            <w:r>
              <w:rPr>
                <w:rFonts w:ascii="Times New Roman"/>
                <w:b w:val="false"/>
                <w:i w:val="false"/>
                <w:color w:val="000000"/>
                <w:sz w:val="20"/>
              </w:rPr>
              <w:t>
Представление в уполномоченный орган предварительного уведомления либо ходатайства о даче согласия на:</w:t>
            </w:r>
            <w:r>
              <w:br/>
            </w:r>
            <w:r>
              <w:rPr>
                <w:rFonts w:ascii="Times New Roman"/>
                <w:b w:val="false"/>
                <w:i w:val="false"/>
                <w:color w:val="000000"/>
                <w:sz w:val="20"/>
              </w:rPr>
              <w:t>
</w:t>
            </w:r>
            <w:r>
              <w:rPr>
                <w:rFonts w:ascii="Times New Roman"/>
                <w:b w:val="false"/>
                <w:i w:val="false"/>
                <w:color w:val="000000"/>
                <w:sz w:val="20"/>
              </w:rPr>
              <w:t>1) совершение сделок с имуществом субъекта естественной монополии, предназначенным для производства и предоставления регулируемых услуг (товаров, работ), если балансовая стоимость отчуждаемого имущества либо имущества субъекта естественной монополии, в отношении которого совершаются иные сделки,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они не повлекут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(производимых товаров, работ);</w:t>
            </w:r>
            <w:r>
              <w:br/>
            </w:r>
            <w:r>
              <w:rPr>
                <w:rFonts w:ascii="Times New Roman"/>
                <w:b w:val="false"/>
                <w:i w:val="false"/>
                <w:color w:val="000000"/>
                <w:sz w:val="20"/>
              </w:rPr>
              <w:t>
</w:t>
            </w:r>
            <w:r>
              <w:rPr>
                <w:rFonts w:ascii="Times New Roman"/>
                <w:b w:val="false"/>
                <w:i w:val="false"/>
                <w:color w:val="000000"/>
                <w:sz w:val="20"/>
              </w:rPr>
              <w:t>2) найма субъектом естественной монополии имущества, используемого для предоставления регулируемых услуг (товаров, работ), балансовая стоимость которого,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заключение договора имущественного найма не повлечет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(товаров, работ);</w:t>
            </w:r>
            <w:r>
              <w:br/>
            </w:r>
            <w:r>
              <w:rPr>
                <w:rFonts w:ascii="Times New Roman"/>
                <w:b w:val="false"/>
                <w:i w:val="false"/>
                <w:color w:val="000000"/>
                <w:sz w:val="20"/>
              </w:rPr>
              <w:t>
3) реорганизации и ликвидации субъекта естественной монополии</w:t>
            </w:r>
          </w:p>
          <w:bookmarkEnd w:id="67"/>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обязанности о возврате средств от перерасчета стоимости услуг по теплоснабжению с учетом фактической температуры наружного воздуха напрямую потребителям либо в случае невозможности установления места нахождения потребителя путем снижения тарифа (цены, ставки сбора) при оплате за услуги теплоснабжения</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обязанности по обращению вновь созданным субъектом не позднее девяти месяцев со дня утверждения тарифов (цен, ставок) и тарифных смет на регулируемые услуги (товаров, работ) с заявкой для их пересмотра</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регулируемых услуг (товаров, работ) по тарифам (ценам, ставкам сборов), утвержденным уполномоченным органом, за исключением случаев предоставления регулируемых услуг по предельным уровням тарифов (цен, ставок сборов)</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по взиманию за регулируемые услуги (товары, работы) платы, превышающей размер, установленный уполномоченным органом</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по взиманию дополнительной платы или иному навязыванию дополнительных обязательств, которые по своему содержанию не касаются предмета оказываемых регулируемых услуг (передача финансовых средств и иного имущества, имущественных прав и других)</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по навязыванию условий доступа к регулируемым услугам (товарам, работам) субъектов естественных монополий или совершению иных действий, ведущих к дискриминации потребителей</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по отказу в предоставлении регулируемых услуг (товаров, работ) добросовестным потребителям в связи с неоплатой недобросовестными потребителями использованного объема регулируемых услуг (товаров, работ)</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по требованию оплаты предоставленных регулируемых услуг (товаров, работ), не соответствующих требованиям к качеству регулируемых услуг (товаров, работ), установленным государственными органами в пределах их компетенции</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обеспечении всеобщего обслуживания потребителей регулируемых услуг (товаров, работ) в соответствии с требованиями к качеству предоставляемых регулируемых услуг (товаров, работ)</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обеспечении приема платежей от потребителей за предоставляемые субъектом естественных монополий регулируемые коммунальные услуги (товары, работы) через собственные кассы, а также банки и организации, осуществляющие отдельные виды банковских операций, интернет-ресурсы и (или) терминалы. Данное требование не распространяется на субъектов естественных монополий малой мощности</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предоставлении равных условий потребителям регулируемых услуг (товаров, работ), кроме случаев предоставления регулируемых услуг (товаров, работ) с учетом льгот и преимуществ, установленных законодательством Республики Казахстан, в том числе равные условия доступа к регулируемым услугам (товарам, работам) в порядке, утвержденном уполномоченным органом, за исключением доступа к услугам по транспортировке продукции по магистральным трубопроводам</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предоставлении, в случае утверждения предельного уровня тарифа (цены, ставки сбора) для всех потребителей регулируемых услуг (товаров, работ) по единым уровням тарифов (цен, ставок сборов), не превышающим предельный уровень тарифа (цены, ставки сбора)</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приобретении и установке потребителям приборов учета регулируемых коммунальных услуг (товаров, работ)</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взимании платы, за предоставляемые регулируемые коммунальные услуги (товары, работы) по среднемесячным показаниям приборов учета, в случае выхода прибора учета из строя</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нарушения прав потребителей при заключении договоров на предоставление регулируемых услуг (товаров, работ)</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предоставлении регулируемых услуг по предельным уровням тарифа (ценам, ставкам сборов).</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тарифной сметы, за исключением самостоятельного распоряжения недоиспользованной части затрат, заложенных в тарифной смете, возникшей в результате экономии затрат в связи с применением более эффективных методов и технологий, реализацией плана мероприятий по энергосбережению и повышению энергоэффективности, разработанного по итогам энергоаудита, проведением мероприятий по снижению нормативных технических потерь или сокращением объемов оказываемых регулируемых услуг по причинам, не зависящим от субъекта естественной монополии, или результатам проведения конкурсных (тендерных) процедур, за исключением средств, направленных на обеспечение энергосбережения и повышение энергоэффективности, создание новых, расширение, восстановление, обновление, поддержку, реконструкцию и техническое перевооружение производственных активов не менее пятидесяти процентов недоиспользованной части затрат, заложенных в тарифной смете, возникшей в результате экономии затрат в связи с применением более эффективных методов и технологий, реализацией плана мероприятий по энергосбережению и повышению энергоэффективности, разработанного по итогам энергоаудита, проведением мероприятий по снижению нормативных технических потерь или сокращением объемов оказываемых регулируемых услуг по причинам, не зависящим от субъекта естественной монополии, или по результатам проведения конкурсных (тендерных) процедур</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утвержденных в установленном порядке инвестиционных программ (проектов) и приоритетное направление средств, предусмотренных инвестиционной программой (проектом), на реализацию мероприятий по энергосбережению и повышению энергоэффективности при условии, что они не повлекут за собой повышения тарифов (цен, ставок сборов) или их предельных уровней на регулируемые услуги (товары, работы) субъекта естественной монополии, а также восстановление, обновление, расширение, поддержку существующих активов, реконструкцию, техническое перевооружение основных средств субъекта естественной монополии</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 результатам мониторинга отчетности и сведений, представляемых субъектом (объектом) контроля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предоставление в период реализации инвестиционной программы (проекта), отчета об исполнении инвестиционной программы (проекта) в срок до 1 мая года, следующего за отчетным периодом</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предоставление ежегодного отчета об исполнении тарифной сметы до 1 мая года, следующего за отчетным периодом</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размещение в средствах массовой информации, в том числе на своем интернет-ресурсе либо интернет-ресурсе уполномоченного органа отчета об исполнении инвестиционной программы (проекта) не позднее 1 июля года, следующего за отчетным периодом</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уведомление уполномоченного органа и потребителей о снижении тарифов (цен, ставок сборов) не позднее чем за десять дней до введения их в действие</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предоставление в месячный срок со дня получения субъектом естественных монополий соответствующего требования экономически обоснованных расчетов и информации в том же объеме, что и при подаче заявки для утверждения нового тарифа (цены, ставки сбора), при пересмотре тарифов (цен, ставок сборов) или их предельных уровней и тарифных смет по инициативе уполномоченного органа</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 результатам анализа официальных интернет-ресурсов и средств массовой информации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обязательного ежегодного аудита аудиторскими организациями для субъектов естественных монополий, которые являются акционерными обществами, с размещением на интернет-ресурсе субъекта естественных монополий опубликованием его в периодических печатных изданиях</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размещение на своем интернет-ресурсе либо интернет-ресурсе уполномоченного органа отчета об исполнении тарифной сметы</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размещение на своем интернет-ресурсе, либо в случае отсутствия своего интернет-ресурса, предоставлять уполномоченному органу для размещения на его интернет-ресурсе ежеквартально обновляемую информацию о наличии свободных и доступных мощностей, емкости, мест, пропускной способности сетей, а также схемах инженерных коммуникаций регулируемых коммунальных услуг (товаров, работ), за исключением сведений, относящихся к государственным секретам и иной охраняемой тайне, в соответствии с законами Республики Казахстан</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представления сведений об инженерных коммуникациях по запросам, в том числе на своем интернет-ресурсе</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ежегодного отчета о деятельности по предоставлению регулируемых услуг (товаров, работ) перед потребителями и иными заинтересованными лицами с обоснованиями и размещением их в средствах массовой информации, в том числе на своем интернет-ресурсе либо интернет-ресурсе уполномоченного органа, не позднее пяти календарных дней с момента проведения отчета</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Наличие и количество подтвержденных жалоб и обращений на субъектов контроля, поступивших от физических или юридических лиц, государственных органов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подтвержденной жалобы или обращения по несоблюдению требований законодательства Республики Казахстан о естественных монополиях</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или более подтвержденных жалоб или обращений по несоблюдению требований законодательства Республики Казахстан о естественных монополиях</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сферах естественных</w:t>
            </w:r>
            <w:r>
              <w:br/>
            </w:r>
            <w:r>
              <w:rPr>
                <w:rFonts w:ascii="Times New Roman"/>
                <w:b w:val="false"/>
                <w:i w:val="false"/>
                <w:color w:val="000000"/>
                <w:sz w:val="20"/>
              </w:rPr>
              <w:t>монополий и за соблюдением</w:t>
            </w:r>
            <w:r>
              <w:br/>
            </w:r>
            <w:r>
              <w:rPr>
                <w:rFonts w:ascii="Times New Roman"/>
                <w:b w:val="false"/>
                <w:i w:val="false"/>
                <w:color w:val="000000"/>
                <w:sz w:val="20"/>
              </w:rPr>
              <w:t>порядка ценообразования и</w:t>
            </w:r>
            <w:r>
              <w:br/>
            </w:r>
            <w:r>
              <w:rPr>
                <w:rFonts w:ascii="Times New Roman"/>
                <w:b w:val="false"/>
                <w:i w:val="false"/>
                <w:color w:val="000000"/>
                <w:sz w:val="20"/>
              </w:rPr>
              <w:t>обязанностей субъекта</w:t>
            </w:r>
            <w:r>
              <w:br/>
            </w:r>
            <w:r>
              <w:rPr>
                <w:rFonts w:ascii="Times New Roman"/>
                <w:b w:val="false"/>
                <w:i w:val="false"/>
                <w:color w:val="000000"/>
                <w:sz w:val="20"/>
              </w:rPr>
              <w:t>общественно значимого рынка</w:t>
            </w:r>
          </w:p>
        </w:tc>
      </w:tr>
    </w:tbl>
    <w:bookmarkStart w:name="z80" w:id="68"/>
    <w:p>
      <w:pPr>
        <w:spacing w:after="0"/>
        <w:ind w:left="0"/>
        <w:jc w:val="left"/>
      </w:pPr>
      <w:r>
        <w:rPr>
          <w:rFonts w:ascii="Times New Roman"/>
          <w:b/>
          <w:i w:val="false"/>
          <w:color w:val="000000"/>
        </w:rPr>
        <w:t xml:space="preserve"> Субъективные критерии за соблюдением порядка ценообразования и обязанностей субъекта общественно значимого рынка</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2"/>
        <w:gridCol w:w="10810"/>
        <w:gridCol w:w="378"/>
      </w:tblGrid>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Субъективные критерии</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предыдущего профилактического контроля с посещением субъекта (объекта) контроля (степень тяжести устанавливается при несоблюдении нижеперечисленных требований)</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уведомлении уполномоченного органа в письменном виде или в форме электронного документа через систему электронного документооборота уполномоченного органа не менее чем за тридцать календарных дней о предстоящем повышении цен на товары (работы, услуги) выше предельной цены и причинах их повышения с предоставлением обосновывающих материалов, подтверждающих причины повышения</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предоставлении в уполномоченный орган документов и сведений, в рамках экспертизы цены, либо уведомления с приложением к нему обосновывающих материалов, подтверждающих причины повышения предельной цены</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предоставлении в уполномоченный орган информации, указывающей на причины снижения или повышения, не позднее пяти рабочих дней со дня снижения или повышения цены, при самостоятельном снижении или повышении цены на товары (работы, услуги), реализуемые на общественно значимых рынка, не превышая предельной цены</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раздельного учета затрат по каждому виду, товаров (работ, услуг) для формирования предельной цены, при его наличии</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представлении по требованию участников публичных слушаний до проведения публичных слушаний проектов цен на товары (работы, услуги), информацию о причинах повышения цен на товары (работы, услуги) с экономически обоснованными расчетами, после опубликования информации о дате проведения публичных слушаний</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возврате дохода, полученного и не использованного на реализацию инвестиционных программ (проектов), учтенных в предельных ценах, напрямую потребителям либо в случае невозможности установления полного перечня потребителей путем снижения уровня предельной цены на предстоящий период в соответствии с порядком ценообразования на общественно значимых рынков</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возврате дохода, полученного в результате необоснованного превышения предельной цены, напрямую потребителям не позднее тридцати календарных дней с момента установления такого факта уполномоченным органом, осуществляющим руководство в сферах естественных монополий, либо путем снижения уровня предельной цены на предстоящий период в случае невозможности установления полного перечня потребителей</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мероприятий инвестиционной программы (проекта), учтенные в предельных ценах на общественно значимых рынках</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 результатам мониторинга отчетности и сведений, представляемых субъектом</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своевременное предоставление в уполномоченный орган ежеквартальной финансовой отчетности</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своевременное предоставление в уполномоченный орган информации, необходимой для проведения экспертизы цены, на бумажном и (или) электронном носителях в сроки, установленные уполномоченным органом, осуществляющим руководство в сферах естественных монополий, которые не могут быть менее пяти рабочих дней со дня получения субъектом общественно значимого рынка соответствующего требования</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своевременное предоставление полугодовой информации об исполнении или неисполнении инвестиционной программы (проекта), учтенной в предельной цене, по форме, утвержденной уполномоченным органом и размещение в средствах массовой информации</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соблюдение требования о предоставлении в уполномоченный орган ежемесячной информации об объемах производства (реализации), уровне доходности и отпускных ценах производимых (реализуемых) товаров (работ, услуг)</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Наличие и количество подтвержденных жалоб и обращений на субъектов контроля, поступивших от физических или юридических лиц, государственных органов</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подтвержденной жалобы или обращения по несоблюдению требований законодательства Республики Казахстан в области общественно значимых рынков</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или более подтвержденных жалоб или обращений по несоблюдению требований законодательства Республики Казахстан в области общественно значимых рынков</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ноября 2018 года № 59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июля 2016 года № 332</w:t>
            </w:r>
          </w:p>
        </w:tc>
      </w:tr>
    </w:tbl>
    <w:bookmarkStart w:name="z83" w:id="69"/>
    <w:p>
      <w:pPr>
        <w:spacing w:after="0"/>
        <w:ind w:left="0"/>
        <w:jc w:val="left"/>
      </w:pPr>
      <w:r>
        <w:rPr>
          <w:rFonts w:ascii="Times New Roman"/>
          <w:b/>
          <w:i w:val="false"/>
          <w:color w:val="000000"/>
        </w:rPr>
        <w:t xml:space="preserve">                    Проверочный лист в сферах естественных монополий</w:t>
      </w:r>
    </w:p>
    <w:bookmarkEnd w:id="69"/>
    <w:bookmarkStart w:name="z84" w:id="70"/>
    <w:p>
      <w:pPr>
        <w:spacing w:after="0"/>
        <w:ind w:left="0"/>
        <w:jc w:val="both"/>
      </w:pPr>
      <w:r>
        <w:rPr>
          <w:rFonts w:ascii="Times New Roman"/>
          <w:b w:val="false"/>
          <w:i w:val="false"/>
          <w:color w:val="000000"/>
          <w:sz w:val="28"/>
        </w:rPr>
        <w:t>
      в отношении __субъектов естественных монополий___________________________</w:t>
      </w:r>
      <w:r>
        <w:br/>
      </w:r>
      <w:r>
        <w:rPr>
          <w:rFonts w:ascii="Times New Roman"/>
          <w:b w:val="false"/>
          <w:i w:val="false"/>
          <w:color w:val="000000"/>
          <w:sz w:val="28"/>
        </w:rPr>
        <w:t xml:space="preserve">             наименование однородной группы субъектов (объектов) контроля</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Государственный орган, назначивший проверку 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Акт о назначении проверки/профилактического контроля с посещением субъекта (объекта)</w:t>
      </w:r>
      <w:r>
        <w:br/>
      </w:r>
      <w:r>
        <w:rPr>
          <w:rFonts w:ascii="Times New Roman"/>
          <w:b w:val="false"/>
          <w:i w:val="false"/>
          <w:color w:val="000000"/>
          <w:sz w:val="28"/>
        </w:rPr>
        <w:t>контроля 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Наименование субъекта (объекта) контроля 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(Индивидуальный идентификационный номер), бизнес-идентификационный номер субъекта</w:t>
      </w:r>
      <w:r>
        <w:br/>
      </w:r>
      <w:r>
        <w:rPr>
          <w:rFonts w:ascii="Times New Roman"/>
          <w:b w:val="false"/>
          <w:i w:val="false"/>
          <w:color w:val="000000"/>
          <w:sz w:val="28"/>
        </w:rPr>
        <w:t>(объекта) контроля 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Адрес места нахождения __________________________________________________</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285"/>
        <w:gridCol w:w="107"/>
        <w:gridCol w:w="157"/>
        <w:gridCol w:w="158"/>
        <w:gridCol w:w="219"/>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Доведение до сведения потребителя информации об изменении тарифов (цен, ставок сборов) или их предельных уровней не позднее чем за тридцать календарных дней до введения их в действие, а субъект естественной монополии малой мощности – не позднее чем за пятнадцать календарных дней до введения их в действие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оказании услуги, технологически связанной с регулируемыми услугами (товарами, работами), в уполномоченный орган, не менее чем за пятнадцать календарных дней до ее осуществления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по передаче принадлежащего на праве собственности или ином законном основании имущества, используемого в технологическом цикле при производстве и (или) предоставлении регулируемых услуг (товаров, работ), в доверительное управление, имущественный найм (аренду), включая лизинг</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по уступке права требования, связанного с предоставляемыми регулируемыми услугами (товарами, работами)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о включении в тарифы (цены, ставки сборов) или их предельные уровни на регулируемые услуги (товары, работы) затрат, не связанных с их предоставлением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по допущению нецелевого использования средств, предусмотренных в инвестиционных программах (проектах)</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о признании коммерческой тайной информации: содержащейся в тарифной смете, о затратах на приобретение и установку приборов учета регулируемых коммунальных услуг и механизме взимания платы, приобретении и установке приборов учета регулируемых коммунальных услуг, о предоставляемых регулируемых коммунальных услугах (товарах, работах)</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направлении на обеспечение энергосбережения и повышение энергоэффективности, создание новых, расширение, восстановление, обновление, поддержку, реконструкцию и техническое перевооружение производственных активов не менее пятидесяти процентов недоиспользованной части затрат, заложенных в тарифной смете, возникшей в результате экономии затрат в связи с применением более эффективных методов и технологий, реализацией плана мероприятий по энергосбережению и повышению энергоэффективности, разработанного по итогам энергоаудита, проведением мероприятий по снижению нормативных технических потерь или сокращением объемов оказываемых регулируемых услуг по причинам, не зависящим от субъекта естественной монополии, или по результатам проведения конкурсных (тендерных) процедур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осуществления закупок услуг (товаров, работ), затраты на которые учитываются при утверждении тарифа (цены, ставки сбора) или его предельного уровня и тарифных смет на регулируемые услуги (товары, работы) субъекта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раздельного учета доходов, затрат и задействованных активов по каждому виду регулируемых услуг (товаров, работ) и в целом по иной деятельности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в соответствии с типовыми договорами, утвержденными уполномоченным органом, индивидуальных договоров с потребителями на каждый вид предоставляемых регулируемых коммунальных услуг (товаров, работ), а также на каждый вид и (или) совокупность иных предоставляемых регулируемых услуг (товаров, работ)</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в соответствии с типовыми договорами сотрудничества, утвержденными постановлением Правительства Республики Казахстан, договоров сотрудничества с органом управления объектом кондоминиума на каждый вид предоставляемых им регулируемых коммунальных услуг (товаров, работ)</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тарифов (цен, ставок сборов) или их предельных уровней на предоставляемые регулируемые услуги (товары, работы) для всех потребителей в случае соответствующего изменения налогового законодательства Республики Казахстан, в результате которого стоимость затрат субъекта естественных монополий уменьшается, со дня введения в действие указанных изменений</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обязанности об отчуждении имущества, предназначенного для производства и предоставления регулируемых услуг (товаров, работ), на торгах в форме тендера, за исключением случаев передачи имущества в собственность государства, а также передачи электрических сетей субъектами естественной монополии, оказывающими услугу по передаче электрической энергии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разработанной методики ведения раздельного учета доходов, затрат и задействованных активов по видам регулируемых услуг субъектов естественных монополий</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допущение наличия сверхнормативных потерь</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уровня нормативных технических потерь на величину и в сроки, определенные уполномоченным органом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1"/>
          <w:p>
            <w:pPr>
              <w:spacing w:after="20"/>
              <w:ind w:left="20"/>
              <w:jc w:val="both"/>
            </w:pPr>
            <w:r>
              <w:rPr>
                <w:rFonts w:ascii="Times New Roman"/>
                <w:b w:val="false"/>
                <w:i w:val="false"/>
                <w:color w:val="000000"/>
                <w:sz w:val="20"/>
              </w:rPr>
              <w:t>
Представление в уполномоченный орган предварительного уведомления либо ходатайства о даче согласия на:</w:t>
            </w:r>
            <w:r>
              <w:br/>
            </w:r>
            <w:r>
              <w:rPr>
                <w:rFonts w:ascii="Times New Roman"/>
                <w:b w:val="false"/>
                <w:i w:val="false"/>
                <w:color w:val="000000"/>
                <w:sz w:val="20"/>
              </w:rPr>
              <w:t>
</w:t>
            </w:r>
            <w:r>
              <w:rPr>
                <w:rFonts w:ascii="Times New Roman"/>
                <w:b w:val="false"/>
                <w:i w:val="false"/>
                <w:color w:val="000000"/>
                <w:sz w:val="20"/>
              </w:rPr>
              <w:t>1) совершение сделок с имуществом субъекта естественной монополии, предназначенным для производства и предоставления регулируемых услуг (товаров, работ), если балансовая стоимость отчуждаемого имущества либо имущества субъекта естественной монополии, в отношении которого совершаются иные сделки,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они не повлекут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(производимых товаров, работ);</w:t>
            </w:r>
            <w:r>
              <w:br/>
            </w:r>
            <w:r>
              <w:rPr>
                <w:rFonts w:ascii="Times New Roman"/>
                <w:b w:val="false"/>
                <w:i w:val="false"/>
                <w:color w:val="000000"/>
                <w:sz w:val="20"/>
              </w:rPr>
              <w:t>
</w:t>
            </w:r>
            <w:r>
              <w:rPr>
                <w:rFonts w:ascii="Times New Roman"/>
                <w:b w:val="false"/>
                <w:i w:val="false"/>
                <w:color w:val="000000"/>
                <w:sz w:val="20"/>
              </w:rPr>
              <w:t>2) найма субъектом естественной монополии имущества, используемого для предоставления регулируемых услуг (товаров, работ), балансовая стоимость которого,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заключение договора имущественного найма не повлечет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(товаров, работ);</w:t>
            </w:r>
            <w:r>
              <w:br/>
            </w:r>
            <w:r>
              <w:rPr>
                <w:rFonts w:ascii="Times New Roman"/>
                <w:b w:val="false"/>
                <w:i w:val="false"/>
                <w:color w:val="000000"/>
                <w:sz w:val="20"/>
              </w:rPr>
              <w:t>
3) реорганизации и ликвидации субъекта естественной монополии</w:t>
            </w:r>
          </w:p>
          <w:bookmarkEnd w:id="71"/>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обязанности о возврате средств от перерасчета стоимости услуг по теплоснабжению с учетом фактической температуры наружного воздуха напрямую потребителям либо в случае невозможности установления места нахождения потребителя путем снижения тарифа (цены, ставки сбора) при оплате за услуги теплоснабжения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обязанности по обращению вновь созданным субъектом не позднее девяти месяцев со дня утверждения тарифов (цен, ставок) и тарифных смет на регулируемые услуги (товаров, работ) с заявкой для их пересмотра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регулируемых услуг (товаров, работ) по тарифам (ценам, ставкам сборов), утвержденным уполномоченным органом, за исключением случаев предоставления регулируемых услуг по предельным уровням тарифов (цен, ставок сборов)</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по взиманию за регулируемые услуги (товары, работы) платы, превышающей размер, установленный уполномоченным органом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по взиманию дополнительной платы или иному навязыванию дополнительных обязательств, которые по своему содержанию не касаются предмета оказываемых регулируемых услуг (передача финансовых средств и иного имущества, имущественных прав и других)</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по навязыванию условий доступа к регулируемым услугам (товарам, работам) субъектов естественных монополий или совершению иных действий, ведущих к дискриминации потребителей</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по отказу в предоставлении регулируемых услуг (товаров, работ) добросовестным потребителям в связи с неоплатой недобросовестными потребителями использованного объема регулируемых услуг (товаров, работ)</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по требованию оплаты предоставленных регулируемых услуг (товаров, работ), не соответствующих требованиям к качеству регулируемых услуг (товаров, работ), установленным государственными органами в пределах их компетенции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обеспечении всеобщего обслуживания потребителей регулируемых услуг (товаров, работ) в соответствии с требованиями к качеству предоставляемых регулируемых услуг (товаров, работ)</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обеспечении приема платежей от потребителей за предоставляемые субъектом естественных монополий регулируемые коммунальные услуги (товары, работы) через собственные кассы, а также банки и организации, осуществляющие отдельные виды банковских операций, интернет-ресурсы и (или) терминалы. Данное требование не распространяется на субъектов естественных монополий малой мощности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предоставлении равных условий потребителям регулируемых услуг (товаров, работ), кроме случаев предоставления регулируемых услуг (товаров, работ) с учетом льгот и преимуществ, установленных законодательством Республики Казахстан, в том числе равные условия доступа к регулируемым услугам (товарам, работам) в порядке, утвержденном уполномоченным органом, за исключением доступа к услугам по транспортировке продукции по магистральным трубопроводам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предоставлении, в случае утверждения предельного уровня тарифа (цены, ставки сбора) для всех потребителей регулируемых услуг (товаров, работ) по единым уровням тарифов (цен, ставок сборов), не превышающим предельный уровень тарифа (цены, ставки сбора)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приобретении и установке потребителям приборов учета регулируемых коммунальных услуг (товаров, работ)</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взимании платы, за предоставляемые регулируемые коммунальные услуги (товары, работы) по среднемесячным показаниям приборов учета, в случае выхода прибора учета из строя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нарушения прав потребителей при заключении договоров на предоставление регулируемых услуг (товаров, работ)</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предоставлении регулируемых услуг по предельным уровням тарифа (ценам, ставкам сборов).</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тарифной сметы, за исключением самостоятельного распоряжения недоиспользованной части затрат, заложенных в тарифной смете, возникшей в результате экономии затрат в связи с применением более эффективных методов и технологий, реализацией плана мероприятий по энергосбережению и повышению энергоэффективности, разработанного по итогам энергоаудита, проведением мероприятий по снижению нормативных технических потерь или сокращением объемов оказываемых регулируемых услуг по причинам, не зависящим от субъекта естественной монополии, или результатам проведения конкурсных (тендерных) процедур, за исключением средств, направленных на обеспечение энергосбережения и повышение энергоэффективности, создание новых, расширение, восстановление, обновление, поддержку, реконструкцию и техническое перевооружение производственных активов не менее пятидесяти процентов недоиспользованной части затрат, заложенных в тарифной смете, возникшей в результате экономии затрат в связи с применением более эффективных методов и технологий, реализацией плана мероприятий по энергосбережению и повышению энергоэффективности, разработанного по итогам энергоаудита, проведением мероприятий по снижению нормативных технических потерь или сокращением объемов оказываемых регулируемых услуг по причинам, не зависящим от субъекта естественной монополии, или по результатам проведения конкурсных (тендерных) процедур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утвержденных в установленном порядке инвестиционных программ (проектов) и приоритетное направление средств, предусмотренных инвестиционной программой (проектом), на реализацию мероприятий по энергосбережению и повышению энергоэффективности при условии, что они не повлекут за собой повышения тарифов (цен, ставок сборов) или их предельных уровней на регулируемые услуги (товары, работы) субъекта естественной монополии, а также восстановление, обновление, расширение, поддержку существующих активов, реконструкцию, техническое перевооружение основных средств субъекта естественной монополии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 w:id="72"/>
    <w:p>
      <w:pPr>
        <w:spacing w:after="0"/>
        <w:ind w:left="0"/>
        <w:jc w:val="both"/>
      </w:pPr>
      <w:r>
        <w:rPr>
          <w:rFonts w:ascii="Times New Roman"/>
          <w:b w:val="false"/>
          <w:i w:val="false"/>
          <w:color w:val="000000"/>
          <w:sz w:val="28"/>
        </w:rPr>
        <w:t>
      Должностное (ые) лицо (а) _______________________________________________________</w:t>
      </w:r>
      <w:r>
        <w:br/>
      </w:r>
      <w:r>
        <w:rPr>
          <w:rFonts w:ascii="Times New Roman"/>
          <w:b w:val="false"/>
          <w:i w:val="false"/>
          <w:color w:val="000000"/>
          <w:sz w:val="28"/>
        </w:rPr>
        <w:t xml:space="preserve">                         должность, подпись, фамилия, имя, отчество (при наличии)</w:t>
      </w:r>
      <w:r>
        <w:br/>
      </w:r>
      <w:r>
        <w:rPr>
          <w:rFonts w:ascii="Times New Roman"/>
          <w:b w:val="false"/>
          <w:i w:val="false"/>
          <w:color w:val="000000"/>
          <w:sz w:val="28"/>
        </w:rPr>
        <w:t>Руководитель субъекта контроля __________________________________________________</w:t>
      </w:r>
      <w:r>
        <w:br/>
      </w:r>
      <w:r>
        <w:rPr>
          <w:rFonts w:ascii="Times New Roman"/>
          <w:b w:val="false"/>
          <w:i w:val="false"/>
          <w:color w:val="000000"/>
          <w:sz w:val="28"/>
        </w:rPr>
        <w:t xml:space="preserve">                   должность, подпись, фамилия, имя, отчество (при наличии)</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5 ноября 2018 года № 59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июля 2016 года № 332</w:t>
            </w:r>
          </w:p>
        </w:tc>
      </w:tr>
    </w:tbl>
    <w:bookmarkStart w:name="z91" w:id="73"/>
    <w:p>
      <w:pPr>
        <w:spacing w:after="0"/>
        <w:ind w:left="0"/>
        <w:jc w:val="left"/>
      </w:pPr>
      <w:r>
        <w:rPr>
          <w:rFonts w:ascii="Times New Roman"/>
          <w:b/>
          <w:i w:val="false"/>
          <w:color w:val="000000"/>
        </w:rPr>
        <w:t xml:space="preserve">                    Проверочный лист за соблюдением порядка ценообразования и</w:t>
      </w:r>
      <w:r>
        <w:br/>
      </w:r>
      <w:r>
        <w:rPr>
          <w:rFonts w:ascii="Times New Roman"/>
          <w:b/>
          <w:i w:val="false"/>
          <w:color w:val="000000"/>
        </w:rPr>
        <w:t xml:space="preserve">                         обязанностей субъекта общественно значимого рынка</w:t>
      </w:r>
    </w:p>
    <w:bookmarkEnd w:id="73"/>
    <w:bookmarkStart w:name="z92" w:id="74"/>
    <w:p>
      <w:pPr>
        <w:spacing w:after="0"/>
        <w:ind w:left="0"/>
        <w:jc w:val="both"/>
      </w:pPr>
      <w:r>
        <w:rPr>
          <w:rFonts w:ascii="Times New Roman"/>
          <w:b w:val="false"/>
          <w:i w:val="false"/>
          <w:color w:val="000000"/>
          <w:sz w:val="28"/>
        </w:rPr>
        <w:t>
      в отношении __субъектов общественно значимых рынков______________________</w:t>
      </w:r>
      <w:r>
        <w:br/>
      </w:r>
      <w:r>
        <w:rPr>
          <w:rFonts w:ascii="Times New Roman"/>
          <w:b w:val="false"/>
          <w:i w:val="false"/>
          <w:color w:val="000000"/>
          <w:sz w:val="28"/>
        </w:rPr>
        <w:t xml:space="preserve">             наименование однородной группы субъектов (объектов) контроля</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Государственный орган, назначивший проверку 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Акт о назначении проверки/профилактического контроля с посещением субъекта (объекта)</w:t>
      </w:r>
      <w:r>
        <w:br/>
      </w:r>
      <w:r>
        <w:rPr>
          <w:rFonts w:ascii="Times New Roman"/>
          <w:b w:val="false"/>
          <w:i w:val="false"/>
          <w:color w:val="000000"/>
          <w:sz w:val="28"/>
        </w:rPr>
        <w:t>контроля 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Наименование субъекта (объекта) контроля 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(Индивидуальный идентификационный номер), бизнес-идентификационный номер субъекта</w:t>
      </w:r>
      <w:r>
        <w:br/>
      </w:r>
      <w:r>
        <w:rPr>
          <w:rFonts w:ascii="Times New Roman"/>
          <w:b w:val="false"/>
          <w:i w:val="false"/>
          <w:color w:val="000000"/>
          <w:sz w:val="28"/>
        </w:rPr>
        <w:t>(объекта) контроля 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Адрес места нахождения __________________________________________________</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9779"/>
        <w:gridCol w:w="287"/>
        <w:gridCol w:w="468"/>
        <w:gridCol w:w="468"/>
        <w:gridCol w:w="650"/>
      </w:tblGrid>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уведомлении уполномоченного органа в письменном виде или в форме электронного документа через систему электронного документооборота уполномоченного органа не менее чем за тридцать календарных дней о предстоящем повышении цен на товары (работы, услуги) выше предельной цены и причинах их повышения с предоставлением обосновывающих материалов, подтверждающих причины повышения</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предоставлении в уполномоченный орган документов и сведений, в рамках экспертизы цены, либо уведомления с приложением к нему обосновывающих материалов, подтверждающих причины повышения предельной цены</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предоставлении в уполномоченный орган информации, указывающей на причины снижения или повышения, не позднее пяти рабочих дней со дня снижения или повышения цены, при самостоятельном снижении или повышении цены на товары (работы, услуги), реализуемые на общественно значимых рынка, не превышая предельной цены</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раздельного учета затрат по каждому виду, товаров (работ, услуг) для формирования предельной цены, при его наличии</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представлении по требованию участников публичных слушаний до проведения публичных слушаний проектов цен на товары (работы, услуги), информацию о причинах повышения цен на товары (работы, услуги) с экономически обоснованными расчетами, после опубликования информации о дате проведения публичных слушаний</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возврате дохода, полученного и не использованного на реализацию инвестиционных программ (проектов), учтенных в предельных ценах, напрямую потребителям либо в случае невозможности установления полного перечня потребителей путем снижения уровня предельной цены на предстоящий период в соответствии с порядком ценообразования на общественно значимых рынков</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возврате дохода, полученного в результате необоснованного превышения предельной цены, напрямую потребителям не позднее тридцати календарных дней с момента установления такого факта уполномоченным органом, осуществляющим руководство в сферах естественных монополий, либо путем снижения уровня предельной цены на предстоящий период в случае невозможности установления полного перечня потребителей</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мероприятий инвестиционной программы (проекта), учтенные в предельных ценах на общественно значимых рынках</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 w:id="75"/>
    <w:p>
      <w:pPr>
        <w:spacing w:after="0"/>
        <w:ind w:left="0"/>
        <w:jc w:val="both"/>
      </w:pPr>
      <w:r>
        <w:rPr>
          <w:rFonts w:ascii="Times New Roman"/>
          <w:b w:val="false"/>
          <w:i w:val="false"/>
          <w:color w:val="000000"/>
          <w:sz w:val="28"/>
        </w:rPr>
        <w:t>
      Должностное (ые) лицо (а) ________________________________________________________</w:t>
      </w:r>
      <w:r>
        <w:br/>
      </w:r>
      <w:r>
        <w:rPr>
          <w:rFonts w:ascii="Times New Roman"/>
          <w:b w:val="false"/>
          <w:i w:val="false"/>
          <w:color w:val="000000"/>
          <w:sz w:val="28"/>
        </w:rPr>
        <w:t xml:space="preserve">                         должность, подпись, фамилия, имя, отчество (при наличии)</w:t>
      </w:r>
      <w:r>
        <w:br/>
      </w:r>
      <w:r>
        <w:rPr>
          <w:rFonts w:ascii="Times New Roman"/>
          <w:b w:val="false"/>
          <w:i w:val="false"/>
          <w:color w:val="000000"/>
          <w:sz w:val="28"/>
        </w:rPr>
        <w:t>Руководитель субъекта контроля ___________________________________________________</w:t>
      </w:r>
      <w:r>
        <w:br/>
      </w:r>
      <w:r>
        <w:rPr>
          <w:rFonts w:ascii="Times New Roman"/>
          <w:b w:val="false"/>
          <w:i w:val="false"/>
          <w:color w:val="000000"/>
          <w:sz w:val="28"/>
        </w:rPr>
        <w:t xml:space="preserve">                         должность, подпись, фамилия, имя, отчество (при наличии)</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