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9818" w14:textId="d7e9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юстиции Республики Казахстан от 6 марта 2017 года № 242 и Министра национальной экономики Республики Казахстан от 24 марта 2017 года № 126 "Об утверждении критериев оценки степени риска и проверочного листа в сфере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юстиции Республики Казахстан от 2 ноября 2018 года № 1522 и Министра национальной экономики Республики Казахстан от 2 ноября 2018 года № 58. Зарегистрирован в Министерстве юстиции Республики Казахстан 3 ноября 2018 года № 17686. Утратил силу Совместным приказом Министра юстиции Республики Казахстан от 23 ноября 2022 года № 957 и Министра национальной экономики Республики Казахстан от 25 ноября 2022 года № 90.</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юстиции РК от 23.11.2022 № 957 и Министра национальной экономики РК от 25.11.2022 № 90. (вводится в действие с 01.01.2023).</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юстиции Республики Казахстан от 6 марта 2017 года № 242 и Министра национальной экономики Республики Казахстан от 24 марта 2017 года № 126 "Об утверждении критериев оценки степени риска и проверочного листа в сфере регистрации актов гражданского состояния" (зарегистрирован в Реестре государственной регистрации нормативных правовых актов № 14970, опубликован 12 апреля 2017 года в Эталонном контрольном банке нормативных правовых актов Республики Казахстан)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совместного приказа на русском языке изложить в следующей редакции, текст на казахском языке не меняется:</w:t>
      </w:r>
    </w:p>
    <w:bookmarkStart w:name="z7" w:id="2"/>
    <w:p>
      <w:pPr>
        <w:spacing w:after="0"/>
        <w:ind w:left="0"/>
        <w:jc w:val="both"/>
      </w:pPr>
      <w:r>
        <w:rPr>
          <w:rFonts w:ascii="Times New Roman"/>
          <w:b w:val="false"/>
          <w:i w:val="false"/>
          <w:color w:val="000000"/>
          <w:sz w:val="28"/>
        </w:rPr>
        <w:t xml:space="preserve">
      "1) критерии оценки степени рисков в сфере регистрации актов гражданского состояния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критерии</w:t>
      </w:r>
      <w:r>
        <w:rPr>
          <w:rFonts w:ascii="Times New Roman"/>
          <w:b w:val="false"/>
          <w:i w:val="false"/>
          <w:color w:val="000000"/>
          <w:sz w:val="28"/>
        </w:rPr>
        <w:t xml:space="preserve"> оценки степени рисков в сфере регистрации актов гражданского состояния,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деятельности структурных подразделений местных исполнительных органов (регистрирующих органов), осуществляющих регистрацию актов гражданского состояния,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Start w:name="z10" w:id="3"/>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3" w:id="6"/>
    <w:p>
      <w:pPr>
        <w:spacing w:after="0"/>
        <w:ind w:left="0"/>
        <w:jc w:val="both"/>
      </w:pPr>
      <w:r>
        <w:rPr>
          <w:rFonts w:ascii="Times New Roman"/>
          <w:b w:val="false"/>
          <w:i w:val="false"/>
          <w:color w:val="000000"/>
          <w:sz w:val="28"/>
        </w:rPr>
        <w:t>
      3) размещение копии настоящего совместного приказа на официальном интернет-ресурсе Министерства юстиции Республики Казахстан.</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заместителя Министра юстиции Республики Казахстан.</w:t>
      </w:r>
    </w:p>
    <w:bookmarkEnd w:id="7"/>
    <w:bookmarkStart w:name="z15"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8"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"___" 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1522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242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2017 года № 126</w:t>
            </w:r>
          </w:p>
        </w:tc>
      </w:tr>
    </w:tbl>
    <w:bookmarkStart w:name="z21" w:id="10"/>
    <w:p>
      <w:pPr>
        <w:spacing w:after="0"/>
        <w:ind w:left="0"/>
        <w:jc w:val="left"/>
      </w:pPr>
      <w:r>
        <w:rPr>
          <w:rFonts w:ascii="Times New Roman"/>
          <w:b/>
          <w:i w:val="false"/>
          <w:color w:val="000000"/>
        </w:rPr>
        <w:t xml:space="preserve"> Критерии оценки степени рисков в сфере регистрации актов гражданского состояния</w:t>
      </w:r>
    </w:p>
    <w:bookmarkEnd w:id="10"/>
    <w:bookmarkStart w:name="z22" w:id="11"/>
    <w:p>
      <w:pPr>
        <w:spacing w:after="0"/>
        <w:ind w:left="0"/>
        <w:jc w:val="left"/>
      </w:pPr>
      <w:r>
        <w:rPr>
          <w:rFonts w:ascii="Times New Roman"/>
          <w:b/>
          <w:i w:val="false"/>
          <w:color w:val="000000"/>
        </w:rPr>
        <w:t xml:space="preserve"> Глава 1. Общие положения</w:t>
      </w:r>
    </w:p>
    <w:bookmarkEnd w:id="11"/>
    <w:bookmarkStart w:name="z23" w:id="12"/>
    <w:p>
      <w:pPr>
        <w:spacing w:after="0"/>
        <w:ind w:left="0"/>
        <w:jc w:val="both"/>
      </w:pPr>
      <w:r>
        <w:rPr>
          <w:rFonts w:ascii="Times New Roman"/>
          <w:b w:val="false"/>
          <w:i w:val="false"/>
          <w:color w:val="000000"/>
          <w:sz w:val="28"/>
        </w:rPr>
        <w:t xml:space="preserve">
      1. Настоящие Критерии оценки степени рисков в сфере регистрации актов гражданского состояния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марта 2002 года "Об органах юстиции"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w:t>
      </w:r>
    </w:p>
    <w:bookmarkEnd w:id="12"/>
    <w:bookmarkStart w:name="z24" w:id="13"/>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13"/>
    <w:bookmarkStart w:name="z25" w:id="14"/>
    <w:p>
      <w:pPr>
        <w:spacing w:after="0"/>
        <w:ind w:left="0"/>
        <w:jc w:val="both"/>
      </w:pPr>
      <w:r>
        <w:rPr>
          <w:rFonts w:ascii="Times New Roman"/>
          <w:b w:val="false"/>
          <w:i w:val="false"/>
          <w:color w:val="000000"/>
          <w:sz w:val="28"/>
        </w:rPr>
        <w:t>
      1) незначительные нарушения – нарушение прав граждан связанных с государственной регистрации рождения ребенка, заключения брака (супружества) по желанию родителей или вступающих в брак (супружество) в торжественной обстановке в помещении регистрирующего органа либо в специально предназначенных государственных дворцах бракосочетания, отсутствие регистрации входящей документации, обращений физических и юридических лиц в журналах учета, а также в системе электронного документооборота, несвоевременное направление сведений об изменении местонахождения регистрирующего органа</w:t>
      </w:r>
    </w:p>
    <w:bookmarkEnd w:id="14"/>
    <w:bookmarkStart w:name="z26" w:id="15"/>
    <w:p>
      <w:pPr>
        <w:spacing w:after="0"/>
        <w:ind w:left="0"/>
        <w:jc w:val="both"/>
      </w:pPr>
      <w:r>
        <w:rPr>
          <w:rFonts w:ascii="Times New Roman"/>
          <w:b w:val="false"/>
          <w:i w:val="false"/>
          <w:color w:val="000000"/>
          <w:sz w:val="28"/>
        </w:rPr>
        <w:t>
      2) значительные нарушения – несвоевременное предоставление отчетности о регистрации актов гражданского состояния, не отправление заявки для блокировки логина уволенного должностного лица используемого для работы в ИС "РП ЗАГС", использование для работы в ИС "РП ЗАГС" должностными лицами личного логина другого должностного лица, нарушение порядка регистрации актов гражданского состояния, использование не по назначению бланков свидетельств актов гражданского состояния, по результатам рассмотрения заявлении выдача необоснованного отказа в регистрации актов гражданского состояния, ненадлежащее исполнение ратифицированных международных договоров по гражданским, семейным и уголовным делам, несвоевременное представление извещений о внесении изменений, исправлений и дополнений в актовые записи по вторым экземплярам, а также вторых экземпляров заключений о перемене фамилии, имени и отчества, о внесении изменений, исправлений и дополнений в актовые записи, о восстановлении и аннулировании актовых записей, ненадлежащая выдача повторных свидетельств и справок о регистрации актов гражданского состояния, ненадлежащее внесение изменений, исправлений, дополнений, восстановлении, аннулировании записей актов гражданского состояния, ненадлежащее составление и хранение актовых книг, наличие одной и более подтвержденной жалобы или обращения, наличие на официальных интернет ресурсах и в печатных изданиях информации о фактах незаконной регистрации актов гражданского состояния;</w:t>
      </w:r>
    </w:p>
    <w:bookmarkEnd w:id="15"/>
    <w:bookmarkStart w:name="z27" w:id="16"/>
    <w:p>
      <w:pPr>
        <w:spacing w:after="0"/>
        <w:ind w:left="0"/>
        <w:jc w:val="both"/>
      </w:pPr>
      <w:r>
        <w:rPr>
          <w:rFonts w:ascii="Times New Roman"/>
          <w:b w:val="false"/>
          <w:i w:val="false"/>
          <w:color w:val="000000"/>
          <w:sz w:val="28"/>
        </w:rPr>
        <w:t>
      3) объективные критерии оценки степени рисков (далее – объективные критерии) – критерии оценки степени риска,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w:t>
      </w:r>
    </w:p>
    <w:bookmarkEnd w:id="16"/>
    <w:bookmarkStart w:name="z28" w:id="17"/>
    <w:p>
      <w:pPr>
        <w:spacing w:after="0"/>
        <w:ind w:left="0"/>
        <w:jc w:val="both"/>
      </w:pPr>
      <w:r>
        <w:rPr>
          <w:rFonts w:ascii="Times New Roman"/>
          <w:b w:val="false"/>
          <w:i w:val="false"/>
          <w:color w:val="000000"/>
          <w:sz w:val="28"/>
        </w:rPr>
        <w:t>
      4) грубые нарушения – нарушение законности при регистрации актов гражданского состояния, повлекшие нарушения (ущемления) прав и интересов физических лиц, ошибочный, неполный и неточный ввод сведений в информационную систему "Регистрационный пункт ЗАГС" (далее – ИС "РП ЗАГС"), нарушение порядка приема заявлений на регистрацию актов гражданского состояния в отношении иностранных граждан, лиц без гражданства, ненадлежащий учет и хранение бланков свидетельств актов гражданского состояния, разглашение персональных данных граждан, тайны личной жизни, установления отцовства, усыновления, не составление протокола о привлечении к административной ответственности при обнаружении фактов о сокрытии обстоятельств, препятствующих вступлению в брак или сообщение ложных сведений при регистрации актов гражданского состояния, наличие фактов вынесения судами частных постановлений или определений в отношении субъекта контроля, вынесения судом вступившего в законную силу решения о признании факта регистрации недействительной, в котором указана его вина, а также фактов вынесения судом вступившие в законную силу решения, в отношении субъекта контроля, согласно обоснованных жалоб на действия или бездействие должностных лиц, в котором указана его вина;</w:t>
      </w:r>
    </w:p>
    <w:bookmarkEnd w:id="17"/>
    <w:bookmarkStart w:name="z29" w:id="18"/>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8"/>
    <w:bookmarkStart w:name="z30" w:id="19"/>
    <w:p>
      <w:pPr>
        <w:spacing w:after="0"/>
        <w:ind w:left="0"/>
        <w:jc w:val="both"/>
      </w:pPr>
      <w:r>
        <w:rPr>
          <w:rFonts w:ascii="Times New Roman"/>
          <w:b w:val="false"/>
          <w:i w:val="false"/>
          <w:color w:val="000000"/>
          <w:sz w:val="28"/>
        </w:rPr>
        <w:t>
      6) субъект контроля – структурные подразделения местных исполнительных органов, осуществляющие регистрацию актов гражданского состояния (далее – регистрирующий орган);</w:t>
      </w:r>
    </w:p>
    <w:bookmarkEnd w:id="19"/>
    <w:bookmarkStart w:name="z31" w:id="20"/>
    <w:p>
      <w:pPr>
        <w:spacing w:after="0"/>
        <w:ind w:left="0"/>
        <w:jc w:val="both"/>
      </w:pPr>
      <w:r>
        <w:rPr>
          <w:rFonts w:ascii="Times New Roman"/>
          <w:b w:val="false"/>
          <w:i w:val="false"/>
          <w:color w:val="000000"/>
          <w:sz w:val="28"/>
        </w:rPr>
        <w:t>
      7) субъективные критерии оценки степени рисков (далее - субъективные критерии) – критерии оценки степени риска, используемые для отбора субъектов контроля в зависимости от результатов деятельности конкретного субъекта (объекта) контроля;</w:t>
      </w:r>
    </w:p>
    <w:bookmarkEnd w:id="20"/>
    <w:bookmarkStart w:name="z32" w:id="21"/>
    <w:p>
      <w:pPr>
        <w:spacing w:after="0"/>
        <w:ind w:left="0"/>
        <w:jc w:val="both"/>
      </w:pPr>
      <w:r>
        <w:rPr>
          <w:rFonts w:ascii="Times New Roman"/>
          <w:b w:val="false"/>
          <w:i w:val="false"/>
          <w:color w:val="000000"/>
          <w:sz w:val="28"/>
        </w:rPr>
        <w:t>
      3. Критерии оценки степени рисков для профилактического контроля с посещением субъекта контроля в сфере регистрации актов гражданского состояния формируются посредством объективных и субъективных критериев.</w:t>
      </w:r>
    </w:p>
    <w:bookmarkEnd w:id="21"/>
    <w:bookmarkStart w:name="z33" w:id="22"/>
    <w:p>
      <w:pPr>
        <w:spacing w:after="0"/>
        <w:ind w:left="0"/>
        <w:jc w:val="left"/>
      </w:pPr>
      <w:r>
        <w:rPr>
          <w:rFonts w:ascii="Times New Roman"/>
          <w:b/>
          <w:i w:val="false"/>
          <w:color w:val="000000"/>
        </w:rPr>
        <w:t xml:space="preserve"> Глава 2. Объективные критерии</w:t>
      </w:r>
    </w:p>
    <w:bookmarkEnd w:id="22"/>
    <w:bookmarkStart w:name="z34" w:id="23"/>
    <w:p>
      <w:pPr>
        <w:spacing w:after="0"/>
        <w:ind w:left="0"/>
        <w:jc w:val="both"/>
      </w:pPr>
      <w:r>
        <w:rPr>
          <w:rFonts w:ascii="Times New Roman"/>
          <w:b w:val="false"/>
          <w:i w:val="false"/>
          <w:color w:val="000000"/>
          <w:sz w:val="28"/>
        </w:rPr>
        <w:t>
      4. По объективным критериям к высокой степени риска относятся регистрирующие органы местных исполнительных органов, осуществляющие регистрацию актов гражданского состояния.</w:t>
      </w:r>
    </w:p>
    <w:bookmarkEnd w:id="23"/>
    <w:bookmarkStart w:name="z35" w:id="24"/>
    <w:p>
      <w:pPr>
        <w:spacing w:after="0"/>
        <w:ind w:left="0"/>
        <w:jc w:val="both"/>
      </w:pPr>
      <w:r>
        <w:rPr>
          <w:rFonts w:ascii="Times New Roman"/>
          <w:b w:val="false"/>
          <w:i w:val="false"/>
          <w:color w:val="000000"/>
          <w:sz w:val="28"/>
        </w:rPr>
        <w:t>
      5. Отнесение субъектов контроля к высокой степени риска осуществляется в зависимости от вероятности причинения вреда законным интересам физических лиц, интересам государства в результате деятельности субъектов контроля, связанной с обеспечением сохранности тайны личной и семейной жизни, тайны усыновления, защиты прав граждан в сфере соблюдения законодательства о персональных данных, которое может привести к незаконному распространению тайны личной и семейной жизни, тайны усыновления, распространения персональных данных и повлечь нарушение гарантированных государством прав и свобод гражданина.</w:t>
      </w:r>
    </w:p>
    <w:bookmarkEnd w:id="24"/>
    <w:bookmarkStart w:name="z36" w:id="25"/>
    <w:p>
      <w:pPr>
        <w:spacing w:after="0"/>
        <w:ind w:left="0"/>
        <w:jc w:val="both"/>
      </w:pPr>
      <w:r>
        <w:rPr>
          <w:rFonts w:ascii="Times New Roman"/>
          <w:b w:val="false"/>
          <w:i w:val="false"/>
          <w:color w:val="000000"/>
          <w:sz w:val="28"/>
        </w:rPr>
        <w:t>
      6. В отношении регистрирующих органов проводятся внеплановые проверки, профилактический контроль с посещением субъекта контроля.</w:t>
      </w:r>
    </w:p>
    <w:bookmarkEnd w:id="25"/>
    <w:bookmarkStart w:name="z37" w:id="26"/>
    <w:p>
      <w:pPr>
        <w:spacing w:after="0"/>
        <w:ind w:left="0"/>
        <w:jc w:val="both"/>
      </w:pPr>
      <w:r>
        <w:rPr>
          <w:rFonts w:ascii="Times New Roman"/>
          <w:b w:val="false"/>
          <w:i w:val="false"/>
          <w:color w:val="000000"/>
          <w:sz w:val="28"/>
        </w:rPr>
        <w:t>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bookmarkEnd w:id="26"/>
    <w:bookmarkStart w:name="z38" w:id="27"/>
    <w:p>
      <w:pPr>
        <w:spacing w:after="0"/>
        <w:ind w:left="0"/>
        <w:jc w:val="left"/>
      </w:pPr>
      <w:r>
        <w:rPr>
          <w:rFonts w:ascii="Times New Roman"/>
          <w:b/>
          <w:i w:val="false"/>
          <w:color w:val="000000"/>
        </w:rPr>
        <w:t xml:space="preserve"> Глава 3. Субъективные критерии</w:t>
      </w:r>
    </w:p>
    <w:bookmarkEnd w:id="27"/>
    <w:bookmarkStart w:name="z39" w:id="28"/>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28"/>
    <w:bookmarkStart w:name="z40" w:id="29"/>
    <w:p>
      <w:pPr>
        <w:spacing w:after="0"/>
        <w:ind w:left="0"/>
        <w:jc w:val="both"/>
      </w:pPr>
      <w:r>
        <w:rPr>
          <w:rFonts w:ascii="Times New Roman"/>
          <w:b w:val="false"/>
          <w:i w:val="false"/>
          <w:color w:val="000000"/>
          <w:sz w:val="28"/>
        </w:rPr>
        <w:t>
      1) формирование базы данных и сбор информации;</w:t>
      </w:r>
    </w:p>
    <w:bookmarkEnd w:id="29"/>
    <w:bookmarkStart w:name="z41" w:id="30"/>
    <w:p>
      <w:pPr>
        <w:spacing w:after="0"/>
        <w:ind w:left="0"/>
        <w:jc w:val="both"/>
      </w:pPr>
      <w:r>
        <w:rPr>
          <w:rFonts w:ascii="Times New Roman"/>
          <w:b w:val="false"/>
          <w:i w:val="false"/>
          <w:color w:val="000000"/>
          <w:sz w:val="28"/>
        </w:rPr>
        <w:t>
      2) анализ информации и оценка рисков.</w:t>
      </w:r>
    </w:p>
    <w:bookmarkEnd w:id="30"/>
    <w:bookmarkStart w:name="z42" w:id="31"/>
    <w:p>
      <w:pPr>
        <w:spacing w:after="0"/>
        <w:ind w:left="0"/>
        <w:jc w:val="both"/>
      </w:pPr>
      <w:r>
        <w:rPr>
          <w:rFonts w:ascii="Times New Roman"/>
          <w:b w:val="false"/>
          <w:i w:val="false"/>
          <w:color w:val="000000"/>
          <w:sz w:val="28"/>
        </w:rPr>
        <w:t>
      8. Формирование базы данных и сбор информации необходимы для выявления субъектов контроля, нарушающих законодательство Республики Казахстан.</w:t>
      </w:r>
    </w:p>
    <w:bookmarkEnd w:id="31"/>
    <w:bookmarkStart w:name="z43" w:id="32"/>
    <w:p>
      <w:pPr>
        <w:spacing w:after="0"/>
        <w:ind w:left="0"/>
        <w:jc w:val="both"/>
      </w:pPr>
      <w:r>
        <w:rPr>
          <w:rFonts w:ascii="Times New Roman"/>
          <w:b w:val="false"/>
          <w:i w:val="false"/>
          <w:color w:val="000000"/>
          <w:sz w:val="28"/>
        </w:rPr>
        <w:t>
      Для оценки степени рисков используются следующие источники информации:</w:t>
      </w:r>
    </w:p>
    <w:bookmarkEnd w:id="32"/>
    <w:bookmarkStart w:name="z44" w:id="33"/>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посредством автоматизированных информационных систем;</w:t>
      </w:r>
    </w:p>
    <w:bookmarkEnd w:id="33"/>
    <w:bookmarkStart w:name="z45" w:id="34"/>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субъекта контроля;</w:t>
      </w:r>
    </w:p>
    <w:bookmarkEnd w:id="34"/>
    <w:bookmarkStart w:name="z46" w:id="35"/>
    <w:p>
      <w:pPr>
        <w:spacing w:after="0"/>
        <w:ind w:left="0"/>
        <w:jc w:val="both"/>
      </w:pPr>
      <w:r>
        <w:rPr>
          <w:rFonts w:ascii="Times New Roman"/>
          <w:b w:val="false"/>
          <w:i w:val="false"/>
          <w:color w:val="000000"/>
          <w:sz w:val="28"/>
        </w:rPr>
        <w:t>
      3) результаты анализа сведений, представляемых уполномоченными органами и организациями;</w:t>
      </w:r>
    </w:p>
    <w:bookmarkEnd w:id="35"/>
    <w:bookmarkStart w:name="z47" w:id="36"/>
    <w:p>
      <w:pPr>
        <w:spacing w:after="0"/>
        <w:ind w:left="0"/>
        <w:jc w:val="both"/>
      </w:pPr>
      <w:r>
        <w:rPr>
          <w:rFonts w:ascii="Times New Roman"/>
          <w:b w:val="false"/>
          <w:i w:val="false"/>
          <w:color w:val="000000"/>
          <w:sz w:val="28"/>
        </w:rPr>
        <w:t>
      4) наличие и количество подтвержденных жалоб и обращений;</w:t>
      </w:r>
    </w:p>
    <w:bookmarkEnd w:id="36"/>
    <w:bookmarkStart w:name="z48" w:id="37"/>
    <w:p>
      <w:pPr>
        <w:spacing w:after="0"/>
        <w:ind w:left="0"/>
        <w:jc w:val="both"/>
      </w:pPr>
      <w:r>
        <w:rPr>
          <w:rFonts w:ascii="Times New Roman"/>
          <w:b w:val="false"/>
          <w:i w:val="false"/>
          <w:color w:val="000000"/>
          <w:sz w:val="28"/>
        </w:rPr>
        <w:t>
      5) анализ официальных интернет-ресурсов государственных органов, средств массовой информации.</w:t>
      </w:r>
    </w:p>
    <w:bookmarkEnd w:id="37"/>
    <w:bookmarkStart w:name="z49" w:id="38"/>
    <w:p>
      <w:pPr>
        <w:spacing w:after="0"/>
        <w:ind w:left="0"/>
        <w:jc w:val="both"/>
      </w:pPr>
      <w:r>
        <w:rPr>
          <w:rFonts w:ascii="Times New Roman"/>
          <w:b w:val="false"/>
          <w:i w:val="false"/>
          <w:color w:val="000000"/>
          <w:sz w:val="28"/>
        </w:rPr>
        <w:t>
      9.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38"/>
    <w:bookmarkStart w:name="z50" w:id="39"/>
    <w:p>
      <w:pPr>
        <w:spacing w:after="0"/>
        <w:ind w:left="0"/>
        <w:jc w:val="both"/>
      </w:pPr>
      <w:r>
        <w:rPr>
          <w:rFonts w:ascii="Times New Roman"/>
          <w:b w:val="false"/>
          <w:i w:val="false"/>
          <w:color w:val="000000"/>
          <w:sz w:val="28"/>
        </w:rPr>
        <w:t>
      Для отнесения субъекта контроля к степени рисков применяется следующий расчет показателя степени рисков.</w:t>
      </w:r>
    </w:p>
    <w:bookmarkEnd w:id="39"/>
    <w:bookmarkStart w:name="z51" w:id="40"/>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рисков 100 и в отношении него проводится профилактический контроль с посещением субъекта контроля.</w:t>
      </w:r>
    </w:p>
    <w:bookmarkEnd w:id="40"/>
    <w:bookmarkStart w:name="z52" w:id="41"/>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рисков рассчитывается суммарный показатель по нарушениям значительной и незначительной степени.</w:t>
      </w:r>
    </w:p>
    <w:bookmarkEnd w:id="41"/>
    <w:bookmarkStart w:name="z53" w:id="4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42"/>
    <w:bookmarkStart w:name="z54"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43"/>
    <w:bookmarkStart w:name="z55" w:id="44"/>
    <w:p>
      <w:pPr>
        <w:spacing w:after="0"/>
        <w:ind w:left="0"/>
        <w:jc w:val="both"/>
      </w:pPr>
      <w:r>
        <w:rPr>
          <w:rFonts w:ascii="Times New Roman"/>
          <w:b w:val="false"/>
          <w:i w:val="false"/>
          <w:color w:val="000000"/>
          <w:sz w:val="28"/>
        </w:rPr>
        <w:t>
      где:</w:t>
      </w:r>
    </w:p>
    <w:bookmarkEnd w:id="44"/>
    <w:bookmarkStart w:name="z56"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45"/>
    <w:bookmarkStart w:name="z57"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46"/>
    <w:bookmarkStart w:name="z58"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47"/>
    <w:bookmarkStart w:name="z59" w:id="4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48"/>
    <w:bookmarkStart w:name="z6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49"/>
    <w:bookmarkStart w:name="z61" w:id="50"/>
    <w:p>
      <w:pPr>
        <w:spacing w:after="0"/>
        <w:ind w:left="0"/>
        <w:jc w:val="both"/>
      </w:pPr>
      <w:r>
        <w:rPr>
          <w:rFonts w:ascii="Times New Roman"/>
          <w:b w:val="false"/>
          <w:i w:val="false"/>
          <w:color w:val="000000"/>
          <w:sz w:val="28"/>
        </w:rPr>
        <w:t>
      где:</w:t>
      </w:r>
    </w:p>
    <w:bookmarkEnd w:id="50"/>
    <w:bookmarkStart w:name="z62"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51"/>
    <w:bookmarkStart w:name="z63"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52"/>
    <w:bookmarkStart w:name="z64"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53"/>
    <w:bookmarkStart w:name="z65" w:id="54"/>
    <w:p>
      <w:pPr>
        <w:spacing w:after="0"/>
        <w:ind w:left="0"/>
        <w:jc w:val="both"/>
      </w:pPr>
      <w:r>
        <w:rPr>
          <w:rFonts w:ascii="Times New Roman"/>
          <w:b w:val="false"/>
          <w:i w:val="false"/>
          <w:color w:val="000000"/>
          <w:sz w:val="28"/>
        </w:rPr>
        <w:t>
      Общий показатель степени рисков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54"/>
    <w:bookmarkStart w:name="z66"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55"/>
    <w:bookmarkStart w:name="z67" w:id="56"/>
    <w:p>
      <w:pPr>
        <w:spacing w:after="0"/>
        <w:ind w:left="0"/>
        <w:jc w:val="both"/>
      </w:pPr>
      <w:r>
        <w:rPr>
          <w:rFonts w:ascii="Times New Roman"/>
          <w:b w:val="false"/>
          <w:i w:val="false"/>
          <w:color w:val="000000"/>
          <w:sz w:val="28"/>
        </w:rPr>
        <w:t>
      где:</w:t>
      </w:r>
    </w:p>
    <w:bookmarkEnd w:id="56"/>
    <w:bookmarkStart w:name="z68"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рисков;</w:t>
      </w:r>
    </w:p>
    <w:bookmarkEnd w:id="57"/>
    <w:bookmarkStart w:name="z69"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58"/>
    <w:bookmarkStart w:name="z70"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59"/>
    <w:bookmarkStart w:name="z71" w:id="60"/>
    <w:p>
      <w:pPr>
        <w:spacing w:after="0"/>
        <w:ind w:left="0"/>
        <w:jc w:val="both"/>
      </w:pPr>
      <w:r>
        <w:rPr>
          <w:rFonts w:ascii="Times New Roman"/>
          <w:b w:val="false"/>
          <w:i w:val="false"/>
          <w:color w:val="000000"/>
          <w:sz w:val="28"/>
        </w:rPr>
        <w:t>
      Субъективные критерии оценки степени рисков деятельности субъектов контроля приведены в приложении к настоящим Критериям.</w:t>
      </w:r>
    </w:p>
    <w:bookmarkEnd w:id="60"/>
    <w:bookmarkStart w:name="z72" w:id="61"/>
    <w:p>
      <w:pPr>
        <w:spacing w:after="0"/>
        <w:ind w:left="0"/>
        <w:jc w:val="both"/>
      </w:pPr>
      <w:r>
        <w:rPr>
          <w:rFonts w:ascii="Times New Roman"/>
          <w:b w:val="false"/>
          <w:i w:val="false"/>
          <w:color w:val="000000"/>
          <w:sz w:val="28"/>
        </w:rPr>
        <w:t>
      По показателям степени рисков субъект контроля относится:</w:t>
      </w:r>
    </w:p>
    <w:bookmarkEnd w:id="61"/>
    <w:bookmarkStart w:name="z73" w:id="62"/>
    <w:p>
      <w:pPr>
        <w:spacing w:after="0"/>
        <w:ind w:left="0"/>
        <w:jc w:val="both"/>
      </w:pPr>
      <w:r>
        <w:rPr>
          <w:rFonts w:ascii="Times New Roman"/>
          <w:b w:val="false"/>
          <w:i w:val="false"/>
          <w:color w:val="000000"/>
          <w:sz w:val="28"/>
        </w:rPr>
        <w:t>
      1) к высокой степени рисков – при показателе степени рисков от 61 до 100 включительно и в отношении него проводится профилактический контроль с посещением субъекта контроля;</w:t>
      </w:r>
    </w:p>
    <w:bookmarkEnd w:id="62"/>
    <w:bookmarkStart w:name="z74" w:id="63"/>
    <w:p>
      <w:pPr>
        <w:spacing w:after="0"/>
        <w:ind w:left="0"/>
        <w:jc w:val="both"/>
      </w:pPr>
      <w:r>
        <w:rPr>
          <w:rFonts w:ascii="Times New Roman"/>
          <w:b w:val="false"/>
          <w:i w:val="false"/>
          <w:color w:val="000000"/>
          <w:sz w:val="28"/>
        </w:rPr>
        <w:t>
      2) не относится к высокой степени рисков – при показателе степени 0 до 60 и в отношении него не проводится профилактический контроль с посещением субъекта контроля.</w:t>
      </w:r>
    </w:p>
    <w:bookmarkEnd w:id="63"/>
    <w:bookmarkStart w:name="z75" w:id="64"/>
    <w:p>
      <w:pPr>
        <w:spacing w:after="0"/>
        <w:ind w:left="0"/>
        <w:jc w:val="both"/>
      </w:pPr>
      <w:r>
        <w:rPr>
          <w:rFonts w:ascii="Times New Roman"/>
          <w:b w:val="false"/>
          <w:i w:val="false"/>
          <w:color w:val="000000"/>
          <w:sz w:val="28"/>
        </w:rPr>
        <w:t>
      При анализе информации и оценке рисков не применяются данные субъективных критериев, ранее учтенных и использованных в отношении конкретного субъекта контроля.</w:t>
      </w:r>
    </w:p>
    <w:bookmarkEnd w:id="64"/>
    <w:bookmarkStart w:name="z76" w:id="65"/>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контроля не может быть чаще одного раза в год.</w:t>
      </w:r>
    </w:p>
    <w:bookmarkEnd w:id="65"/>
    <w:bookmarkStart w:name="z77" w:id="66"/>
    <w:p>
      <w:pPr>
        <w:spacing w:after="0"/>
        <w:ind w:left="0"/>
        <w:jc w:val="both"/>
      </w:pPr>
      <w:r>
        <w:rPr>
          <w:rFonts w:ascii="Times New Roman"/>
          <w:b w:val="false"/>
          <w:i w:val="false"/>
          <w:color w:val="000000"/>
          <w:sz w:val="28"/>
        </w:rPr>
        <w:t>
      Анализ получаемых сведений и оценка по показателям осуществляется один раз в год до первого апреля следующего года. Анализируемым периодом является прошедший год.</w:t>
      </w:r>
    </w:p>
    <w:bookmarkEnd w:id="66"/>
    <w:bookmarkStart w:name="z78" w:id="67"/>
    <w:p>
      <w:pPr>
        <w:spacing w:after="0"/>
        <w:ind w:left="0"/>
        <w:jc w:val="both"/>
      </w:pPr>
      <w:r>
        <w:rPr>
          <w:rFonts w:ascii="Times New Roman"/>
          <w:b w:val="false"/>
          <w:i w:val="false"/>
          <w:color w:val="000000"/>
          <w:sz w:val="28"/>
        </w:rPr>
        <w:t xml:space="preserve">
      Профилактический контроль с посещением субъекта контроля проводятся на основании списков профилактического контроля с посещением субъекта контроля, формируемых в с </w:t>
      </w:r>
      <w:r>
        <w:rPr>
          <w:rFonts w:ascii="Times New Roman"/>
          <w:b w:val="false"/>
          <w:i w:val="false"/>
          <w:color w:val="000000"/>
          <w:sz w:val="28"/>
        </w:rPr>
        <w:t>Предпринимательским Кодекcом</w:t>
      </w:r>
      <w:r>
        <w:rPr>
          <w:rFonts w:ascii="Times New Roman"/>
          <w:b w:val="false"/>
          <w:i w:val="false"/>
          <w:color w:val="000000"/>
          <w:sz w:val="28"/>
        </w:rPr>
        <w:t xml:space="preserve"> Республики Казахстан.</w:t>
      </w:r>
    </w:p>
    <w:bookmarkEnd w:id="67"/>
    <w:bookmarkStart w:name="z79" w:id="68"/>
    <w:p>
      <w:pPr>
        <w:spacing w:after="0"/>
        <w:ind w:left="0"/>
        <w:jc w:val="both"/>
      </w:pPr>
      <w:r>
        <w:rPr>
          <w:rFonts w:ascii="Times New Roman"/>
          <w:b w:val="false"/>
          <w:i w:val="false"/>
          <w:color w:val="000000"/>
          <w:sz w:val="28"/>
        </w:rPr>
        <w:t>
      Списки профилактического контроля с посещением субъекта контроля составляются с учетом приоритетности субъектов контроля с наибольшим показателем степени рисков по субъективным критериям.</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сфере регистрации</w:t>
            </w:r>
            <w:r>
              <w:br/>
            </w:r>
            <w:r>
              <w:rPr>
                <w:rFonts w:ascii="Times New Roman"/>
                <w:b w:val="false"/>
                <w:i w:val="false"/>
                <w:color w:val="000000"/>
                <w:sz w:val="20"/>
              </w:rPr>
              <w:t>актов гражданского состояния</w:t>
            </w:r>
          </w:p>
        </w:tc>
      </w:tr>
    </w:tbl>
    <w:bookmarkStart w:name="z81" w:id="69"/>
    <w:p>
      <w:pPr>
        <w:spacing w:after="0"/>
        <w:ind w:left="0"/>
        <w:jc w:val="left"/>
      </w:pPr>
      <w:r>
        <w:rPr>
          <w:rFonts w:ascii="Times New Roman"/>
          <w:b/>
          <w:i w:val="false"/>
          <w:color w:val="000000"/>
        </w:rPr>
        <w:t xml:space="preserve"> Субъективные критерии к оценке степени рисков деятельности субъектов контроля</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степени рисков в сфере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в том числе посредством автоматизированных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Ошибочный, неполный и неточный ввод сведений в ИС "РП ЗАГС"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отчетности о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отправление заявки для блокировки логина уволенного должностного лица используемого для работы в ИС "РП ЗАГС"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работы в ИС "РП ЗАГС" должностными лицами логина другого должностного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предыдущих проверок и профилактического контроля с посещением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рождения регистрирующими органами по месту рождения ребенка или по месту жительства родителей либо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поданному по истечении трех рабочих дней, на основании заключения о государственной регистрации рождения ребенка с нарушением установленного срока, составленного регистрирующим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рождения ребенка по письменному заявлению родителей или одного из них, либо их представителя по нотариально удостоверенной доверенности,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при представлении копий документов, удостоверяющих личность родителей, а также свидетельства о заключении брака (супружества) (за исключением государственной регистрации рождения брошенных и найденных детей, а также у матерей не состоящих в браке)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случае нарушения установленного срока с представлением объяснительных родителей, справки об отсутствии записи о рождении по месту рождения ребенка и месту жительства родителей (за исключением детей, рожденных после 2008 года на территории Республики Казахстан), справки о здоровье ребенка (за исключением новорожденных детей до двух месяцев, рожденных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актовой записи об установлении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Записывать отцом ребенка в записи акта о рождении, лица не являющегося супругом родившей женщины, при регистрации установления отцовства и регистрации рождения, в случае письменного признания отцовства данного лица и при письменном согласии ее мужа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допускать выдачу свидетельства о рождении мертворожденному ребенку и ребенку умершему на первой неделе жизни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 с приложением медицинского свидетельства о рождении, извещения об отсутствии актовой записи о рождении регистрирующего органа соответствующей административно-территориальной единицы (за исключением детей, рожденных после 2008 года на территории Республики Казахстан), справки о состоянии здоровья, документов, удостоверяющих личность, брак (супружество) родителей, документа, удостоверяющего личность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отцовства по желанию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Производить государственную регистрацию установления отцовства и заключения брака по заявлению дееспособных 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месту рождения ребенка,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 по месту нахождения ребенка в случае смерти матери или признания ее недееспособной, невозможности установить место нахождения матери или в случае лишения ее родительских прав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Производить государственную регистрацию установления отцовства по совместному заявлению родителей в случае их личной явки (за исключением случаев, когда один из родителей по уважительной причине не может лично явиться в регистрирующий орган для подачи заявления, подпись его на заявлении должна быть нотариально засвидетельствована)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совместному заявлению родителей при представлении документов, удостоверяющих личность родителей, свидетельства о рождении ребенка (за исключением одновременной государственной регистрации рождения и установления отцовства), в случае подачи такого заявления до рождения ребенка - медицинской справки, подтверждающую беременность матери, выданная медицинской организацией или частнопрактикующим врачом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Присвоить отчество ребенку при государственной регистрации установления отцовства по имени отца, в том числе и в отношении совершеннолетнего ребенка, если с его стороны не имеется возражений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в отношении ребенка, в случае если родители ребенка вступили в брак (супружество) после его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лица признающего себя отцом ребенка с приложением документов, удостоверяющих его личность и подтверждающих обстоятельств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Определять фамилию ребенка при государственной регистрации установления отцовства по заявлению лица, признающего себя отцом ребенка, с согласия органа, осуществляющего функции по опеке или попечительству и отчества ребенка по имени отца, в том числе и в отношении совершеннолетнего ребенка, если с его стороны не имеется возражений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Производить государственную регистрацию установления отцовства на основании решения суда об установлении отцовства, а также об установлении факта отцовства и факта признания отцовства с приложением копии вступившего в законную силу решения суда, документов, удостоверяющих личность заявителя, и свидетельство о рождении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Записывать сведения об отце в записи актов о рождении и об установлении отцовства в соответствии с решением суда при государственной регистрации установления отцовства по решению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Присвоить фамилию ребенка в соответствии с решением суда, а при отсутствии такой записи - по указанию заявителя при государственной регистрации установления отцовства на основании решения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и об установлении отцовства при одновременной подаче заявлении на государственную регистрацию рождения ребенка и установления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соответствующие изменения в акт записи о рождении на основании актовой записи об установлении отцовства при государственной регистрации установления отцовства и выдать свидетельство о рождении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личного совместного письменного заявления о вступлении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Производить государственную регистрацию брака (супружества) по истечении месячного срока со дня подачи совместного заявления о вступлении в брак (супружество)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Принимать заявление о заключении брака (супружества) от одного из вступающих в брак (супружество), если присутствие обоих лиц, вступающих в брак (супружество), невозможно или крайне затруднительно (отдаленность проживания друг от друга, тяжелое заболевание, прохождение воинской службы и другие), при этом подпись отсутствующего лица должна быть свидетельствована руководителем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 на основании проверок по архиву регистрирующих органов районов (городов)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(учреждениях уголовно-исполнительной системы), в присутствии лиц, вступающих в брак (супружество), в помещении соответствующего учреждения с соблюдением условий заключения брака (супружества), определенном администрацией учреждения уголовно-исполнительной системы, по согласованию с регистрирующим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одного месяца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 по месту жительства супругов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подавшего это заявление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расторжения брака (супружества) на основании решения суда о расторжении брака (супружества) в регистрирующем органе по месту вынесения решения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в регистрирующем органе по месту жительства гражданина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представлении свидетельства о заключении брака (супружества) (за исключением случаев когда брак расторгается на основании решения суда о расторжении брака (супружества)), документов, удостоверяющих личность лиц, расторгающих брак (супружество), документа являющегося основанием для государственной регистрации расторжения брака (супружества),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 (в случаях расторжения брака на вступившего в законную силу решения суда о признании супруга недееспособным или ограниченно дееспособным), документа об оплате государственной пошлины, нотариально удостоверенной доверенности (за исключением случаев когда брак расторгается по совместному заявлению супругов о расторжении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ребенка на основании вступившего в законную силу судебного решения об усыновлении и заявления законных представителей ребенка по месту вынесения судебного решения об усыновлении, рождения или нахождения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усыновления только после регистрации рождения ребенка или восстановления утраченной записи акта о его рождении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усыновления вносить в запись акта об усыновлении сведении о ребенке и усыновителях в соответствии со сведениями, указанными в решении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ребенка по письменному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 нотариально удостоверенной доверенности (на подачу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изменении даты и места рождения, фамилии, имени, отчества усыновленного, указания усыновителя в качестве родителя усыновленного при государственной регистрации усыновления восстанавливать актовую запись о рождении, сформировывать индивидуальный идентификационный номер и выдавать новое свидетельство о рождении ребенка (за исключением случаев когда по решению суда место рождения ребенка меняется на другую административную единицу)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Аннулировать запись об усыновлении на основании вступившего в законную силу решения суда об отмене усыновления или о признании усыновления недействительным по заявлению родителей ребенка, если усыновление было отменено по их заявлению, или органом, осуществляющим функции по опеке или попечительству, если отмена усыновления последовала по его требованию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перемены имени, отчества, фамилии по личному заявлению лица, достигшего шестнадцатилетнего возраста и желающего поменять имя и (или) отчество, фамилию по документально подтвержденным установленным причинам по месту жительства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составлена актовая запись о перемене имени, отчества,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Направлять извещении о перемене имени, отчества, фамилии гражданина в недельный срок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по месту проживания умершего или по месту его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смерти по письменному заявлению лиц, проживавших вместе с умершим, а в случае отсутствия таковых - соседей, работников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органа внутренних дел, обнаружившего труп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при сдаче документов, удостоверяющих личность и военного билета умершего (при их отсутствии указав причины их отсутствия)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 и сообщение соответствующей службе местных исполнительных органов, с выдачей справки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свидетельства о регистрации актов гражданского состояния, родителям новорожденного, другим уполномоченным лицам или представителям организации, в которой находится ребенок (о рождении); одному из родителей или по их желанию каждому (об установлении отцовства); супругам в день государственной регистрации брака (супружества) по месту его заключения, при необходимости каждому из вступающих в брак (супружество) (о заключении брака (супружества)); каждому из супругов по месту государственной регистрации расторжения брака (супружества) по их заявлению независимо от времени государственной регистрации расторжения брака (супружества) (о расторжении брака (супружества)); по месту государственной регистрации усыновителям (об усыновлении); по месту государственной регистрации лицу, в отношении которого произведена перемена (о перемене имени, фамилии и отчества);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другим родственникам по извещению нотариуса, у которого находится наследственное дело (о смерти) на основании актовой записи о государственной регистрации акта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 учет бланков свидетельств актов гражданского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бланки свидетельств актов гражданского состояния по их прямому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Формировывать индивидуальный идентификационный номер для граждан Республики Казахстан при регистрации актовой записи о рождении (за исключением мертворожденных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рассмотрения заявлении выдавать документ, подтверждающий регистрацию актов гражданского состояния или обоснованный отказ в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 исполнять ратифицированные международные договора по гражданским, семейным и уголовным делам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представлять извещения о внесении изменений, исправлений и дополнений в актовые записи по вторым экземплярам, а также вторых экземпляров заключений о перемене Ф.И.О (при его наличии), о внесении изменений, исправлений и дополнений в актовые записи, о восстановлении и аннулировании актовых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повторные свидетельства и справки о регистрации актов гражданского состояния лицам, в отношении которых зарегистрирована запись акта (повторные свидетельства и справки о смерти - родственникам, входящих в круг наследников), либо по нотариально заверенной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Вносить изменения, исправления, дополнения, восстанавливать, аннулировать записи актов гражданского состояния по заявлению лиц, в отношении которых зарегистрирована запись акта (в актовые записи о смерти - родственников, входящих в круг наследников), либо по нотариально заверенной доверенности, заинтересованных государственных органов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исправления, дополнения, восстанавливать, аннулировать записи актов гражданского состояния после поступления копии актовых записей, подтверждающих документов о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входящей документации, обращений физических и юридических лиц в журналах учета, а также в системе электронного документооборота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ста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 хранить книги записей актов гражданского состояния в архивах регистрирующих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протокол о привлечении к административной ответственности при обнаружении фактов о сокрытии обстоятельств, препятствующих вступлению в брак, или сообщение ложных сведений при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направлять сведения об изменении местонахождения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анализа сведений, представляемых уполномоченными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вынесения судами частных постановлений или определений в отношении субъекта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вынесения судом вступившего в законную силу решения о признании факта регистрации недействительной, в котором указана его вина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вынесения судом вступившие в законную силу решения, в отношении субъекта контроля, согласно обоснованных жалоб на действия или бездействие должностных лиц, в котором указана его вина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или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Результаты анализа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 ресурсах и в печатных изданиях информации о фактах незаконной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 ресурсах и в печатных изданиях информации о разглашении персональных данных граждан, в том числе тайну личной жизни, информацию об усыновлении и установлении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1522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ноября 2018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242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2017 года № 126</w:t>
            </w:r>
          </w:p>
        </w:tc>
      </w:tr>
    </w:tbl>
    <w:bookmarkStart w:name="z84" w:id="70"/>
    <w:p>
      <w:pPr>
        <w:spacing w:after="0"/>
        <w:ind w:left="0"/>
        <w:jc w:val="left"/>
      </w:pPr>
      <w:r>
        <w:rPr>
          <w:rFonts w:ascii="Times New Roman"/>
          <w:b/>
          <w:i w:val="false"/>
          <w:color w:val="000000"/>
        </w:rPr>
        <w:t xml:space="preserve">                                ПРОВЕРОЧНЫЙ ЛИСТ</w:t>
      </w:r>
    </w:p>
    <w:bookmarkEnd w:id="70"/>
    <w:p>
      <w:pPr>
        <w:spacing w:after="0"/>
        <w:ind w:left="0"/>
        <w:jc w:val="both"/>
      </w:pPr>
      <w:bookmarkStart w:name="z85" w:id="71"/>
      <w:r>
        <w:rPr>
          <w:rFonts w:ascii="Times New Roman"/>
          <w:b w:val="false"/>
          <w:i w:val="false"/>
          <w:color w:val="000000"/>
          <w:sz w:val="28"/>
        </w:rPr>
        <w:t>
      в сфере регистрации актов гражданского состояния</w:t>
      </w:r>
    </w:p>
    <w:bookmarkEnd w:id="7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в отношении деятельности структурных подразделений местных исполнительных органов</w:t>
      </w:r>
    </w:p>
    <w:p>
      <w:pPr>
        <w:spacing w:after="0"/>
        <w:ind w:left="0"/>
        <w:jc w:val="both"/>
      </w:pPr>
      <w:r>
        <w:rPr>
          <w:rFonts w:ascii="Times New Roman"/>
          <w:b w:val="false"/>
          <w:i w:val="false"/>
          <w:color w:val="000000"/>
          <w:sz w:val="28"/>
        </w:rPr>
        <w:t>(регистрирующих органов), осуществляющих регистрацию актов гражданского состояния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Ф.И.О. (при его наличии) субъекта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регистрирующими органами по месту рождения ребенка или по месту жительства родителей либо одного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поданному по истечении трех рабочих дней, на основании заключения о государственной регистрации рождения ребенка</w:t>
            </w:r>
          </w:p>
          <w:bookmarkEnd w:id="72"/>
          <w:p>
            <w:pPr>
              <w:spacing w:after="20"/>
              <w:ind w:left="20"/>
              <w:jc w:val="both"/>
            </w:pPr>
            <w:r>
              <w:rPr>
                <w:rFonts w:ascii="Times New Roman"/>
                <w:b w:val="false"/>
                <w:i w:val="false"/>
                <w:color w:val="000000"/>
                <w:sz w:val="20"/>
              </w:rPr>
              <w:t>
с нарушением установленного срока, составленного регистрирующим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письменному заявлению родителей или одного из них, либо их представителя по нотариально удостоверенной доверенности,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при представлении копий документов, удостоверяющих личность родителей, а также свидетельства о заключении брака (супружества) (за исключением государственной регистрации рождения брошенных и найденных детей, а также у матерей не состоящих в браке)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случае нарушения установленного срока с представлением объяснительных родителей, справки об отсутствии записи о рождении по месту рождения ребенка и месту жительства родителей (за исключением детей, рожденных после 2008 года на территории Республики Казахстан), справки о здоровье ребенка (за исключением новорожденных детей до двух месяцев, рожденных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актовой записи об установлении отцовства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лица не являющегося супругом родившей женщины, при регистрации установления отцовства и регистрации рождения, в случае письменного признания отцовства данного лица и при письменном согласии ее мужа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выдачу свидетельства о рождении мертворожденному ребенку и ребенку умершему на первой неделе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 с приложением медицинского свидетельства о рождении, извещения об отсутствии актовой записи о рождении регистрирующего органа соответствующей административно-территориальной единицы (за исключением детей, рожденных после 2008 года на территории Республики Казахстан), справки о состоянии здоровья, документов, удостоверяющих личность, брак (супружество) родителей, документа, удостоверяющего личность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отцовства по желанию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и заключения брака по заявлению дееспособных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месту рождения ребенка,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 по месту нахождения ребенка в случае смерти матери или признания ее недееспособной, невозможности установить место нахождения матери или в случае лишения ее родительских 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совместному заявлению родителей в случае их личной явки (за исключением случаев, когда один из родителей по уважительной причине не может лично явиться в регистрирующий орган для подачи заявления, подпись его на заявлении должна быть нотариально засвидетельствована)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совместному заявлению родителей при представлении документов, удостоверяющих личность родителей, свидетельства о рождении ребенка (за исключением одновременной государственной регистрации рождения и установления отцовства), в случае подачи такого заявления до рождения ребенка - медицинской справки, подтверждающую беременность матери, выданная медицинской организацией или частнопрактикующим врачом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отчество ребенку при государственной регистрации установления отцовства по имени отца, в том числе и в отношении совершеннолетнего ребенка, если с его стороны не имеется возражений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в отношении ребенка, в случае если родители ребенка вступили в брак (супружество) после его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лица признающего себя отцом ребенка с приложением документов, удостоверяющих его личность и подтверждающих обстоятельств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фамилию ребенка при государственной регистрации установления отцовства по заявлению лица, признающего себя отцом ребенка, с согласия органа, осуществляющего функции по опеке или попечительству и отчества ребенка по имени отца, в том числе и в отношении совершеннолетнего ребенка, если с его стороны не имеется возражений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на основании решения суда об установлении отцовства, а также об установлении факта отцовства и факта признания отцовства с приложением копии вступившего в законную силу решения суда, документов, удостоверяющих личность заявителя, и свидетельство о рождении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сведения об отце в записи актов о рождении и об установлении отцовства в соответствии с решением суда при государственной регистрации установления отцовства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ребенка в соответствии с решением суда, а при отсутствии такой записи - по указанию заявителя при государственной регистрации установления отцовства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и об установлении отцовства при одновременной подаче заявлении на государственную регистрацию рождения ребенка и установления отцовства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соответствующие изменения в акт записи о рождении на основании актовой записи об установлении отцовства при государственной регистрации установления отцовства и выдать свидетельство о рождении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личного совместного письменного заявления о вступлении в брак (супружество)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брака (супружества) по истечении месячного срока со дня подачи совместного заявления о вступлении в брак (супружество)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заявление о заключении брака (супружества) от одного из вступающих в брак (супружество), если присутствие обоих лиц, вступающих в брак (супружество), невозможно или крайне затруднительно (отдаленность проживания друг от друга, тяжелое заболевание, прохождение воинской службы и другие), при этом подпись отсутствующего лица должна быть свидетельствована руководителем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 на основании проверок по архиву регистрирующих органов районов (городов)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(учреждениях уголовно-исполнительной системы), в присутствии лиц, вступающих в брак (супружество), в помещении соответствующего учреждения с соблюдением условий заключения брака (супружества), определенном администрацией учреждения уголовно-исполнительной системы, по согласованию с регистрирующим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одного месяца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 по месту жительства супругов или одного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подавшего это заявление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на основании решения суда о расторжении брака (супружества) в регистрирующем органе по месту вынесения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в регистрирующем органе по месту жительства гражданина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представлении свидетельства о заключении брака (супружества) (за исключением случаев когда брак расторгается на основании решения суда о расторжении брака (супружества)), документов, удостоверяющих личность лиц, расторгающих брак (супружество), документа являющегося основанием для государственной регистрации расторжения брака (супружества),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 (в случаях расторжения брака на вступившего в законную силу решения суда о признании супруга недееспособным или ограниченно дееспособным), документа об оплате государственной пошлины, нотариально удостоверенной доверенности (за исключением случаев когда брак расторгается по совместному заявлению супругов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ребенка на основании вступившего в законную силу судебного решения об усыновлении и заявления законных представителей ребенка по месту вынесения судебного решения об усыновлении, рождения или нахождения ребенка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только после регистрации рождения ребенка или восстановления утраченной записи акта о его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усыновления вносить в запись акта об усыновлении сведении о ребенке и усыновителях в соответствии со сведениями, указанными в решении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ребенка по письменному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 нотариально удостоверенной доверенности (на подачу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изменении даты и места рождения, фамилии, имени, отчества усыновленного, указания усыновителя в качестве родителя усыновленного при государственной регистрации усыновления восстанавливать актовую запись о рождении, сформировывать индивидуальный идентификационный номер и выдавать новое свидетельство о рождении ребенка (за исключением случаев когда по решению суда место рождения ребенка меняется на другую административную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Аннулировать запись об усыновлении на основании вступившего в законную силу решения суда об отмене усыновления или о признании усыновления недействительным по заявлению родителей ребенка, если усыновление было отменено по их заявлению, или органом, осуществляющим функции по опеке или попечительству, если отмена усыновления последовала по его требованию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перемены имени, отчества, фамилии по личному заявлению лица, достигшего шестнадцатилетнего возраста и желающего поменять имя и (или) отчество, фамилию по документально подтвержденным установленным причинам по месту жительства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составлена актовая запись о перемене имени, отчества, фамилии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Направлять извещении о перемене имени, отчества, фамилии гражданина в недельный срок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по месту проживания умершего или по месту его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по письменному заявлению лиц, проживавших вместе с умершим, а в случае отсутствия таковых - соседей, работников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органа внутренних дел, обнаружившего труп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при сдаче документов, удостоверяющих личность и военного билета умершего (при их отсутствии указав причины их отсутствия)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 и сообщение соответствующей службе местных исполнительных органов, с выдачей справки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свидетельства о регистрации актов гражданского состояния, родителям новорожденного, другим уполномоченным лицам или представителям организации, в которой находится ребенок (о рождении); одному из родителей или по их желанию каждому (об установлении отцовства); супругам в день государственной регистрации брака (супружества) по месту его заключения, при необходимости каждому из вступающих в брак (супружество) (о заключении брака (супружества)); каждому из супругов по месту государственной регистрации расторжения брака (супружества) по их заявлению независимо от времени государственной регистрации расторжения брака (супружества) (о расторжении брака (супружества)); по месту государственной регистрации усыновителям (об усыновлении); по месту государственной регистрации лицу, в отношении которого произведена перемена (о перемене имени, фамилии и отчества);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другим родственникам по извещению нотариуса, у которого находится наследственное дело (о смерти) на основании актовой записи о государственной регистрации акта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учет бланков свидетельств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бланки свидетельств актов гражданского состояния по их прямому назначению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Формировывать индивидуальный идентификационный номер для граждан Республики Казахстан при регистрации актовой записи о рождении (за исключением мертворожденных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рассмотрения заявлении выдавать документ, подтверждающий регистрацию актов гражданского состояния или обоснованный отказ в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 исполнять ратифицированные международные договора по гражданским, семейным и уголовным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представлять извещения о внесении изменений, исправлений и дополнений в актовые записи по вторым экземплярам, а также вторых экземпляров заключений о перемене Ф.И.О. (при его наличии), о внесении изменений, исправлений и дополнений в актовые записи, о восстановлении и аннулировании актовых записей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повторные свидетельства и справки о регистрации актов гражданского состояния лицам, в отношении которых зарегистрирована запись акта (повторные свидетельства и справки о смерти - родственникам, входящих в круг наследников), либо по нотариально заверенной доверенности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исправления, дополнения, восстанавливать, аннулировать записи актов гражданского состояния по заявлению лиц, в отношении которых зарегистрирована запись акта (в актовые записи о смерти - родственников, входящих в круг наследников), либо по нотариально заверенной доверенности, заинтересованных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исправления, дополнения, восстанавливать, аннулировать записи актов гражданского состояния после поступления копии актовых записей, подтверждающих документов о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входящей документации, обращений физических и юридических лиц в журналах учета, а также в системе электронного документооборота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ста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 хранить книги записей актов гражданского состояния в архивах регистрирующих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протокол о привлечении к административной ответственности при обнаружении фактов о сокрытии обстоятельств, препятствующих вступлению в брак, или сообщение ложных сведений при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направлять сведения об изменении местонахождения регистрирующего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3"/>
      <w:r>
        <w:rPr>
          <w:rFonts w:ascii="Times New Roman"/>
          <w:b w:val="false"/>
          <w:i w:val="false"/>
          <w:color w:val="000000"/>
          <w:sz w:val="28"/>
        </w:rPr>
        <w:t>
      Должностное (ые) лицо (а): ________________________________ _____________ __________</w:t>
      </w:r>
    </w:p>
    <w:bookmarkEnd w:id="73"/>
    <w:p>
      <w:pPr>
        <w:spacing w:after="0"/>
        <w:ind w:left="0"/>
        <w:jc w:val="both"/>
      </w:pPr>
      <w:r>
        <w:rPr>
          <w:rFonts w:ascii="Times New Roman"/>
          <w:b w:val="false"/>
          <w:i w:val="false"/>
          <w:color w:val="000000"/>
          <w:sz w:val="28"/>
        </w:rPr>
        <w:t xml:space="preserve">                         (Ф.И.О. при его наличии,                   должность) (подпись)</w:t>
      </w:r>
    </w:p>
    <w:p>
      <w:pPr>
        <w:spacing w:after="0"/>
        <w:ind w:left="0"/>
        <w:jc w:val="both"/>
      </w:pPr>
      <w:r>
        <w:rPr>
          <w:rFonts w:ascii="Times New Roman"/>
          <w:b w:val="false"/>
          <w:i w:val="false"/>
          <w:color w:val="000000"/>
          <w:sz w:val="28"/>
        </w:rPr>
        <w:t>Руководитель субъекта контроля: ___________________________ _____________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