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1042" w14:textId="c6d1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189. Зарегистрировано в Министерстве юстиции Республики Казахстан 19 октября 2018 года № 17579.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2019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раскрытия эмитентом информации согласно приложению 1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содержанию информации, подлежащей раскрытию эмитентом, а также сроки раскрытия эмитентом информации на интернет - ресурсе депозитария финансовой отчетности согласно приложению 2 к настоящему постановлению.</w:t>
      </w:r>
    </w:p>
    <w:bookmarkEnd w:id="3"/>
    <w:bookmarkStart w:name="z8" w:id="4"/>
    <w:p>
      <w:pPr>
        <w:spacing w:after="0"/>
        <w:ind w:left="0"/>
        <w:jc w:val="both"/>
      </w:pPr>
      <w:r>
        <w:rPr>
          <w:rFonts w:ascii="Times New Roman"/>
          <w:b w:val="false"/>
          <w:i w:val="false"/>
          <w:color w:val="000000"/>
          <w:sz w:val="28"/>
        </w:rPr>
        <w:t>
      2. Признать утратившими силу:</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26 "Об утверждении Правил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(зарегистрировано в Реестре государственной регистрации нормативных правовых актов под № 13438, опубликовано 7 апреля 2016 года в информационно-правовой системе "Әділет");</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2017 года № 70 "О внесении изменений в постановление Правления Национального Банка Республики Казахстан от 28 января 2016 года № 26 "Об утверждении Правил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(зарегистрировано в Реестре государственной регистрации нормативных правовых актов под № 15270, опубликовано 5 июля 2017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1"/>
    <w:bookmarkStart w:name="z16" w:id="12"/>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2"/>
    <w:bookmarkStart w:name="z17" w:id="13"/>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3"/>
    <w:bookmarkStart w:name="z18" w:id="14"/>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 xml:space="preserve">Министр финансов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_______________ А. Смаилов</w:t>
      </w:r>
    </w:p>
    <w:p>
      <w:pPr>
        <w:spacing w:after="0"/>
        <w:ind w:left="0"/>
        <w:jc w:val="both"/>
      </w:pPr>
      <w:r>
        <w:rPr>
          <w:rFonts w:ascii="Times New Roman"/>
          <w:b w:val="false"/>
          <w:i w:val="false"/>
          <w:color w:val="000000"/>
          <w:sz w:val="28"/>
        </w:rPr>
        <w:t>"___" 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l</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189</w:t>
            </w:r>
          </w:p>
        </w:tc>
      </w:tr>
    </w:tbl>
    <w:bookmarkStart w:name="z22" w:id="16"/>
    <w:p>
      <w:pPr>
        <w:spacing w:after="0"/>
        <w:ind w:left="0"/>
        <w:jc w:val="left"/>
      </w:pPr>
      <w:r>
        <w:rPr>
          <w:rFonts w:ascii="Times New Roman"/>
          <w:b/>
          <w:i w:val="false"/>
          <w:color w:val="000000"/>
        </w:rPr>
        <w:t xml:space="preserve"> Правила раскрытия эмитентом информации</w:t>
      </w:r>
    </w:p>
    <w:bookmarkEnd w:id="16"/>
    <w:bookmarkStart w:name="z23" w:id="17"/>
    <w:p>
      <w:pPr>
        <w:spacing w:after="0"/>
        <w:ind w:left="0"/>
        <w:jc w:val="both"/>
      </w:pPr>
      <w:r>
        <w:rPr>
          <w:rFonts w:ascii="Times New Roman"/>
          <w:b w:val="false"/>
          <w:i w:val="false"/>
          <w:color w:val="000000"/>
          <w:sz w:val="28"/>
        </w:rPr>
        <w:t xml:space="preserve">
      1. Настоящие Правила раскрытия эмитентом информации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ценных бумаг) и определяют порядок и сроки размещения эмитентами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(далее - депозитарий финансовой отчетности), информации предусмотренной </w:t>
      </w:r>
      <w:r>
        <w:rPr>
          <w:rFonts w:ascii="Times New Roman"/>
          <w:b w:val="false"/>
          <w:i w:val="false"/>
          <w:color w:val="000000"/>
          <w:sz w:val="28"/>
        </w:rPr>
        <w:t>статьей 102</w:t>
      </w:r>
      <w:r>
        <w:rPr>
          <w:rFonts w:ascii="Times New Roman"/>
          <w:b w:val="false"/>
          <w:i w:val="false"/>
          <w:color w:val="000000"/>
          <w:sz w:val="28"/>
        </w:rPr>
        <w:t xml:space="preserve"> Закона о рынке ценных бумаг.</w:t>
      </w:r>
    </w:p>
    <w:bookmarkEnd w:id="17"/>
    <w:bookmarkStart w:name="z24" w:id="18"/>
    <w:p>
      <w:pPr>
        <w:spacing w:after="0"/>
        <w:ind w:left="0"/>
        <w:jc w:val="both"/>
      </w:pPr>
      <w:r>
        <w:rPr>
          <w:rFonts w:ascii="Times New Roman"/>
          <w:b w:val="false"/>
          <w:i w:val="false"/>
          <w:color w:val="000000"/>
          <w:sz w:val="28"/>
        </w:rPr>
        <w:t>
      2. В Правилах используются следующие понятия:</w:t>
      </w:r>
    </w:p>
    <w:bookmarkEnd w:id="18"/>
    <w:bookmarkStart w:name="z199" w:id="19"/>
    <w:p>
      <w:pPr>
        <w:spacing w:after="0"/>
        <w:ind w:left="0"/>
        <w:jc w:val="both"/>
      </w:pPr>
      <w:r>
        <w:rPr>
          <w:rFonts w:ascii="Times New Roman"/>
          <w:b w:val="false"/>
          <w:i w:val="false"/>
          <w:color w:val="000000"/>
          <w:sz w:val="28"/>
        </w:rPr>
        <w:t>
      1) организация, осуществляющая ведение депозитария финансовой отчетности – акционерное общество "Информационно-учетный центр", уполномоченное Правительством Республики Казахстан на осуществление деятельности по ведению депозитария финансовой отчетности;</w:t>
      </w:r>
    </w:p>
    <w:bookmarkEnd w:id="19"/>
    <w:bookmarkStart w:name="z200" w:id="20"/>
    <w:p>
      <w:pPr>
        <w:spacing w:after="0"/>
        <w:ind w:left="0"/>
        <w:jc w:val="both"/>
      </w:pPr>
      <w:r>
        <w:rPr>
          <w:rFonts w:ascii="Times New Roman"/>
          <w:b w:val="false"/>
          <w:i w:val="false"/>
          <w:color w:val="000000"/>
          <w:sz w:val="28"/>
        </w:rPr>
        <w:t>
      2) интернет-ресурс депозитария финансовой отчетности – средство массовой информации, размещенное в сети интернет по адресу "www.dfo.kz";</w:t>
      </w:r>
    </w:p>
    <w:bookmarkEnd w:id="20"/>
    <w:bookmarkStart w:name="z201" w:id="21"/>
    <w:p>
      <w:pPr>
        <w:spacing w:after="0"/>
        <w:ind w:left="0"/>
        <w:jc w:val="both"/>
      </w:pPr>
      <w:r>
        <w:rPr>
          <w:rFonts w:ascii="Times New Roman"/>
          <w:b w:val="false"/>
          <w:i w:val="false"/>
          <w:color w:val="000000"/>
          <w:sz w:val="28"/>
        </w:rPr>
        <w:t>
      3) уполномоченный орган – уполномоченный орган по регулированию, контролю и надзору финансового рынка и финансовых организаций;</w:t>
      </w:r>
    </w:p>
    <w:bookmarkEnd w:id="21"/>
    <w:bookmarkStart w:name="z202" w:id="22"/>
    <w:p>
      <w:pPr>
        <w:spacing w:after="0"/>
        <w:ind w:left="0"/>
        <w:jc w:val="both"/>
      </w:pPr>
      <w:r>
        <w:rPr>
          <w:rFonts w:ascii="Times New Roman"/>
          <w:b w:val="false"/>
          <w:i w:val="false"/>
          <w:color w:val="000000"/>
          <w:sz w:val="28"/>
        </w:rPr>
        <w:t>
      4) период обращения эмиссионных ценных бумаг, выпуск которых зарегистрирован в порядке, установленном законодательством Республики Казахстан, для:</w:t>
      </w:r>
    </w:p>
    <w:bookmarkEnd w:id="22"/>
    <w:bookmarkStart w:name="z203" w:id="23"/>
    <w:p>
      <w:pPr>
        <w:spacing w:after="0"/>
        <w:ind w:left="0"/>
        <w:jc w:val="both"/>
      </w:pPr>
      <w:r>
        <w:rPr>
          <w:rFonts w:ascii="Times New Roman"/>
          <w:b w:val="false"/>
          <w:i w:val="false"/>
          <w:color w:val="000000"/>
          <w:sz w:val="28"/>
        </w:rPr>
        <w:t>
      акций – период с даты принятия уполномоченным органом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w:t>
      </w:r>
    </w:p>
    <w:bookmarkEnd w:id="23"/>
    <w:bookmarkStart w:name="z204" w:id="24"/>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w:t>
      </w:r>
    </w:p>
    <w:bookmarkEnd w:id="24"/>
    <w:bookmarkStart w:name="z205" w:id="25"/>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w:t>
      </w:r>
    </w:p>
    <w:bookmarkEnd w:id="25"/>
    <w:bookmarkStart w:name="z206" w:id="26"/>
    <w:p>
      <w:pPr>
        <w:spacing w:after="0"/>
        <w:ind w:left="0"/>
        <w:jc w:val="both"/>
      </w:pPr>
      <w:r>
        <w:rPr>
          <w:rFonts w:ascii="Times New Roman"/>
          <w:b w:val="false"/>
          <w:i w:val="false"/>
          <w:color w:val="000000"/>
          <w:sz w:val="28"/>
        </w:rPr>
        <w:t>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w:t>
      </w:r>
    </w:p>
    <w:bookmarkEnd w:id="26"/>
    <w:bookmarkStart w:name="z207" w:id="27"/>
    <w:p>
      <w:pPr>
        <w:spacing w:after="0"/>
        <w:ind w:left="0"/>
        <w:jc w:val="both"/>
      </w:pPr>
      <w:r>
        <w:rPr>
          <w:rFonts w:ascii="Times New Roman"/>
          <w:b w:val="false"/>
          <w:i w:val="false"/>
          <w:color w:val="000000"/>
          <w:sz w:val="28"/>
        </w:rPr>
        <w:t>
      5) электронный отчет – заполненный соответствующий шаблон с формами годовой и (или) ежеквартальной финансовой отчетности, информацией, указанной в пунктах 3, 4 и 5 Правил, подписываемый электронной цифровой подписью, выданной Национальным удостоверяющим центром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13.09.2021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3. Эмитент в период обращения его эмиссионных ценных бумаг в соответствии с Требованиями к содержанию информации, подлежащей раскрытию эмитентом, а также сроками раскрытия эмитентом информации на интернет-ресурсе депозитария финансовой отчетности, утвержденными постановлением, согласно приложению 2 (далее – Требования), обеспечивает размещение на интернет-ресурсе депозитария финансовой отчетности:</w:t>
      </w:r>
    </w:p>
    <w:bookmarkEnd w:id="28"/>
    <w:p>
      <w:pPr>
        <w:spacing w:after="0"/>
        <w:ind w:left="0"/>
        <w:jc w:val="both"/>
      </w:pPr>
      <w:r>
        <w:rPr>
          <w:rFonts w:ascii="Times New Roman"/>
          <w:b w:val="false"/>
          <w:i w:val="false"/>
          <w:color w:val="000000"/>
          <w:sz w:val="28"/>
        </w:rPr>
        <w:t>
      информации о корпоративных событиях, перечень которых определен пунктом 5 статьи 102 Закона о рынке ценных бумаг, за исключением информации о корпоративных событиях, указанных в подпунктах 3), 5), 6) и 6-1) пункта 5 данной статьи Закона о рынке ценных бумаг, раскрываемой центральным депозитарием посредством информационного взаимодействия информационных систем центрального депозитария и организации, осуществляющей ведение депозитария финансовой отчетности;</w:t>
      </w:r>
    </w:p>
    <w:p>
      <w:pPr>
        <w:spacing w:after="0"/>
        <w:ind w:left="0"/>
        <w:jc w:val="both"/>
      </w:pPr>
      <w:r>
        <w:rPr>
          <w:rFonts w:ascii="Times New Roman"/>
          <w:b w:val="false"/>
          <w:i w:val="false"/>
          <w:color w:val="000000"/>
          <w:sz w:val="28"/>
        </w:rPr>
        <w:t>
      состава участников, владеющих десятью и более процентами долей участия эмитента;</w:t>
      </w:r>
    </w:p>
    <w:p>
      <w:pPr>
        <w:spacing w:after="0"/>
        <w:ind w:left="0"/>
        <w:jc w:val="both"/>
      </w:pPr>
      <w:r>
        <w:rPr>
          <w:rFonts w:ascii="Times New Roman"/>
          <w:b w:val="false"/>
          <w:i w:val="false"/>
          <w:color w:val="000000"/>
          <w:sz w:val="28"/>
        </w:rPr>
        <w:t>
      списка организаций, в которых эмитент владеет десятью и более процентами акций (долей, паев) каждой такой организации;</w:t>
      </w:r>
    </w:p>
    <w:p>
      <w:pPr>
        <w:spacing w:after="0"/>
        <w:ind w:left="0"/>
        <w:jc w:val="both"/>
      </w:pPr>
      <w:r>
        <w:rPr>
          <w:rFonts w:ascii="Times New Roman"/>
          <w:b w:val="false"/>
          <w:i w:val="false"/>
          <w:color w:val="000000"/>
          <w:sz w:val="28"/>
        </w:rPr>
        <w:t>
      методики определения стоимости акций при их выкупе акционерным обществом на неорганизованном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4. Акционерное общество обеспечивает размещение на интернет-ресурсе депозитария финансовой отчетности ежегодно не позднее 31 августа года, следующего за отчетным годом, информацию о суммарном размере вознаграждения членов исполнительного органа акционерного общества по итогам года.</w:t>
      </w:r>
    </w:p>
    <w:bookmarkEnd w:id="29"/>
    <w:bookmarkStart w:name="z37" w:id="30"/>
    <w:p>
      <w:pPr>
        <w:spacing w:after="0"/>
        <w:ind w:left="0"/>
        <w:jc w:val="both"/>
      </w:pPr>
      <w:r>
        <w:rPr>
          <w:rFonts w:ascii="Times New Roman"/>
          <w:b w:val="false"/>
          <w:i w:val="false"/>
          <w:color w:val="000000"/>
          <w:sz w:val="28"/>
        </w:rPr>
        <w:t>
      Информация о суммарном размере вознаграждения членов исполнительного органа акционерного общества по итогам года содержит сведения о суммарном размере всех выплат, произведенных акционерным обществом в пользу членов исполнительного органа в отчетном периоде, включая сведения о суммарном размере заработных плат и всех видов поощрений в денежной форме, выплаченных акционерным обществом членам исполнительного органа в период их нахождения в составе исполнительного органа в отчетном периоде.</w:t>
      </w:r>
    </w:p>
    <w:bookmarkEnd w:id="30"/>
    <w:bookmarkStart w:name="z38" w:id="31"/>
    <w:p>
      <w:pPr>
        <w:spacing w:after="0"/>
        <w:ind w:left="0"/>
        <w:jc w:val="both"/>
      </w:pPr>
      <w:r>
        <w:rPr>
          <w:rFonts w:ascii="Times New Roman"/>
          <w:b w:val="false"/>
          <w:i w:val="false"/>
          <w:color w:val="000000"/>
          <w:sz w:val="28"/>
        </w:rPr>
        <w:t>
      5. Акционерное общество, за исключением стабилизационного банка, некоммерческих организаций и кредитных бюро обеспечивает размещение на интернет-ресурсе депозитария финансовой отчетности сведений об аффилированных лицах акционерного общества по форме согласно приложению к Правилам по состоянию на 1 января, 1 апреля, 1 июля и 1 октября отчетного года в срок не позднее 31 января, 30 апреля, 31 июля и 31 октября отчетного года, соответственно.</w:t>
      </w:r>
    </w:p>
    <w:bookmarkEnd w:id="31"/>
    <w:bookmarkStart w:name="z39" w:id="32"/>
    <w:p>
      <w:pPr>
        <w:spacing w:after="0"/>
        <w:ind w:left="0"/>
        <w:jc w:val="both"/>
      </w:pPr>
      <w:r>
        <w:rPr>
          <w:rFonts w:ascii="Times New Roman"/>
          <w:b w:val="false"/>
          <w:i w:val="false"/>
          <w:color w:val="000000"/>
          <w:sz w:val="28"/>
        </w:rPr>
        <w:t xml:space="preserve">
      6. Эмитент, чьи ценные бумаги включены в официальный список фондовой биржи, функционирующей на территории Республики Казахстан, и не обращаются на площадке фондовой биржи, функционирующей на территории иностранного государства, в дополнение к информации, указанной в частях первой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102 Закона о рынке ценных бумаг осуществляет раскрытие на интернет-ресурсе депозитария финансовой отчетности ежеквартально в течение 30 (тридцати) рабочих дней, следующих за последним днем отчетного квартала, ежеквартальной неконсолидированной финансовой отчетности, состоящей из:</w:t>
      </w:r>
    </w:p>
    <w:bookmarkEnd w:id="32"/>
    <w:bookmarkStart w:name="z230" w:id="33"/>
    <w:p>
      <w:pPr>
        <w:spacing w:after="0"/>
        <w:ind w:left="0"/>
        <w:jc w:val="both"/>
      </w:pPr>
      <w:r>
        <w:rPr>
          <w:rFonts w:ascii="Times New Roman"/>
          <w:b w:val="false"/>
          <w:i w:val="false"/>
          <w:color w:val="000000"/>
          <w:sz w:val="28"/>
        </w:rPr>
        <w:t xml:space="preserve">
      1) бухгалтерского баланса и отчета о прибылях и убытках, составленных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зарегистрированным в Реестре государственной регистрации нормативных правовых актов под № 15384, - для акционерного общества, за исключением финансовой организации;</w:t>
      </w:r>
    </w:p>
    <w:bookmarkEnd w:id="33"/>
    <w:bookmarkStart w:name="z231" w:id="34"/>
    <w:p>
      <w:pPr>
        <w:spacing w:after="0"/>
        <w:ind w:left="0"/>
        <w:jc w:val="both"/>
      </w:pPr>
      <w:r>
        <w:rPr>
          <w:rFonts w:ascii="Times New Roman"/>
          <w:b w:val="false"/>
          <w:i w:val="false"/>
          <w:color w:val="000000"/>
          <w:sz w:val="28"/>
        </w:rPr>
        <w:t xml:space="preserve">
      2) бухгалтерского баланса и отчета о прибылях и убытках, составленных в соответствии с формами,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зарегистрированным в Реестре государственной регистрации нормативных правовых актов под № 13504, - для акционерного общества, являющегося финансовой организацией, за исключением банка второго уровня;</w:t>
      </w:r>
    </w:p>
    <w:bookmarkEnd w:id="34"/>
    <w:bookmarkStart w:name="z232" w:id="35"/>
    <w:p>
      <w:pPr>
        <w:spacing w:after="0"/>
        <w:ind w:left="0"/>
        <w:jc w:val="both"/>
      </w:pPr>
      <w:r>
        <w:rPr>
          <w:rFonts w:ascii="Times New Roman"/>
          <w:b w:val="false"/>
          <w:i w:val="false"/>
          <w:color w:val="000000"/>
          <w:sz w:val="28"/>
        </w:rPr>
        <w:t xml:space="preserve">
      3) отчета об остатках на балансовых и внебалансовых счетах банка второго уровня, составленного в соответствии с формой,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зарегистрированным в Реестре государственной регистрации нормативных правовых актов под № 20474, - для акционерного общества, являющегося банком второго уровня;</w:t>
      </w:r>
    </w:p>
    <w:bookmarkEnd w:id="35"/>
    <w:bookmarkStart w:name="z233" w:id="36"/>
    <w:p>
      <w:pPr>
        <w:spacing w:after="0"/>
        <w:ind w:left="0"/>
        <w:jc w:val="both"/>
      </w:pPr>
      <w:r>
        <w:rPr>
          <w:rFonts w:ascii="Times New Roman"/>
          <w:b w:val="false"/>
          <w:i w:val="false"/>
          <w:color w:val="000000"/>
          <w:sz w:val="28"/>
        </w:rPr>
        <w:t xml:space="preserve">
      4) отчета об остатках на балансовых и внебалансовых счетах ипотечных организаций, составленный в соответствии с формой,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10117, - для акционерного общества, являющегося ипотечной организацией;</w:t>
      </w:r>
    </w:p>
    <w:bookmarkEnd w:id="36"/>
    <w:bookmarkStart w:name="z234" w:id="37"/>
    <w:p>
      <w:pPr>
        <w:spacing w:after="0"/>
        <w:ind w:left="0"/>
        <w:jc w:val="both"/>
      </w:pPr>
      <w:r>
        <w:rPr>
          <w:rFonts w:ascii="Times New Roman"/>
          <w:b w:val="false"/>
          <w:i w:val="false"/>
          <w:color w:val="000000"/>
          <w:sz w:val="28"/>
        </w:rPr>
        <w:t>
      5) бухгалтерского баланса и отчета о прибылях и убытках, составленных в соответствии с международными стандартами финансовой отчетности (далее - МСФО), - для эмитента, не являющегося акционерным обществом.</w:t>
      </w:r>
    </w:p>
    <w:bookmarkEnd w:id="37"/>
    <w:bookmarkStart w:name="z235" w:id="38"/>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функционирующей на территории Республики Казахстан, и при условии обращения его ценных бумаг на площадке фондовой биржи, функционирующей на территории иностранного государства, обеспечивает размещение на интернет-ресурсе депозитария финансовой отчетности ежеквартальной финансовой отчетности, а в случае наличия у данного эмитента дочерней организации - ежеквартальной консолидированной финансовой отчетности, составленной в соответствии с МСФО, в сроки, установленные внутренними документами фондовой биржи, функционирующей на территории Республики Казахстан, в официальный список которой включены ценные бумаги эмитента.</w:t>
      </w:r>
    </w:p>
    <w:bookmarkEnd w:id="38"/>
    <w:bookmarkStart w:name="z236" w:id="39"/>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функционирующей на территории Республики Казахстан, и при условии обращения его ценных бумаг на площадке фондовой биржи, функционирующей на территории иностранного государства, являющийся банком второго уровня, в дополнение к информации, указанной в части второй настоящего пункта Правил, также представляет информацию, предусмотренную подпунктом 3) части первой настоящего пункта Правил, в сроки, установленные внутренними документами фондовой биржи, функционирующей на территории Республики Казахстан, в официальный список которой включены ценные бумаги эмитента.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7. Эмитент, подлежащий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ежегодно не позднее 31 августа года, следующего за отчетным годом, осуществляет размещение на интернет-ресурсе депозитария финансовой отчетности годовой финансовой отчетности и аудиторского отчета, а в случае наличия дочерних организаций - отдельной годовой финансовой отчетности, консолидированной годовой финансовой отчетности и аудиторского отчета по консолидированной годовой финансовой отчетности, составленных в соответствии с:</w:t>
      </w:r>
    </w:p>
    <w:bookmarkEnd w:id="40"/>
    <w:bookmarkStart w:name="z238" w:id="41"/>
    <w:p>
      <w:pPr>
        <w:spacing w:after="0"/>
        <w:ind w:left="0"/>
        <w:jc w:val="both"/>
      </w:pPr>
      <w:r>
        <w:rPr>
          <w:rFonts w:ascii="Times New Roman"/>
          <w:b w:val="false"/>
          <w:i w:val="false"/>
          <w:color w:val="000000"/>
          <w:sz w:val="28"/>
        </w:rPr>
        <w:t xml:space="preserve">
      1) перечнем и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зарегистрированных в Реестре государственной регистрации нормативных правовых актов под № 15384, - для акционерного общества (за исключением финансовой организации);</w:t>
      </w:r>
    </w:p>
    <w:bookmarkEnd w:id="41"/>
    <w:bookmarkStart w:name="z239"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зарегистрированным в Реестре государственной регистрации нормативных правовых актов под № 13504, - для финансовой организации;</w:t>
      </w:r>
    </w:p>
    <w:bookmarkEnd w:id="42"/>
    <w:bookmarkStart w:name="z240" w:id="43"/>
    <w:p>
      <w:pPr>
        <w:spacing w:after="0"/>
        <w:ind w:left="0"/>
        <w:jc w:val="both"/>
      </w:pPr>
      <w:r>
        <w:rPr>
          <w:rFonts w:ascii="Times New Roman"/>
          <w:b w:val="false"/>
          <w:i w:val="false"/>
          <w:color w:val="000000"/>
          <w:sz w:val="28"/>
        </w:rPr>
        <w:t>
      3) МСФО - для эмитента, чьи ценные бумаги включены в список фондовой биржи и не являющегося акционерным обществом.</w:t>
      </w:r>
    </w:p>
    <w:bookmarkEnd w:id="43"/>
    <w:bookmarkStart w:name="z241" w:id="44"/>
    <w:p>
      <w:pPr>
        <w:spacing w:after="0"/>
        <w:ind w:left="0"/>
        <w:jc w:val="both"/>
      </w:pPr>
      <w:r>
        <w:rPr>
          <w:rFonts w:ascii="Times New Roman"/>
          <w:b w:val="false"/>
          <w:i w:val="false"/>
          <w:color w:val="000000"/>
          <w:sz w:val="28"/>
        </w:rPr>
        <w:t xml:space="preserve">
      Годовая финансовая отчетность и аудиторский отчет, подлежащие размещению на интернет-ресурсе депозитария финансовой отчетности, представляются эмитентом в депозитарий финансовой отчетности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января 2022 года № 94 "Об утверждении Правил сдачи финансовой отчетности организациями публичного интереса в депозитарий", зарегистрированным в Реестре государственной регистрации нормативных правовых актов под № 26686.</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8. Эмитент для представления в депозитарий финансовой отчетности, формирует информацию о корпоративных событиях, ежеквартальную финансовую отчетность, информацию о суммарном размере вознаграждения членов исполнительного органа акционерного общества за отчетный год, а также сведения об аффилированных лицах акционерных обществ посредством электронного сервиса "Единая система сдачи отчетности", размещенного на интернет-ресурсе депозитария финансовой отчетности.</w:t>
      </w:r>
    </w:p>
    <w:bookmarkEnd w:id="45"/>
    <w:bookmarkStart w:name="z243" w:id="46"/>
    <w:p>
      <w:pPr>
        <w:spacing w:after="0"/>
        <w:ind w:left="0"/>
        <w:jc w:val="both"/>
      </w:pPr>
      <w:r>
        <w:rPr>
          <w:rFonts w:ascii="Times New Roman"/>
          <w:b w:val="false"/>
          <w:i w:val="false"/>
          <w:color w:val="000000"/>
          <w:sz w:val="28"/>
        </w:rPr>
        <w:t>
      Информация, указанная в пункте 3 Правил, составленная на казахском и русском языках, а также по инициативе составителя информации на английском языке, ежеквартальная финансовая отчетность и информация о суммарном размере вознаграждения членов исполнительного органа акционерного общества за отчетный год, сведения об аффилированных лицах акционерного общества, составленные на казахском и (или) русском языках, а также по инициативе составителя информации на английском языке, представляются в организацию, осуществляющую ведение депозитария финансовой отчетности, в следующем порядке:</w:t>
      </w:r>
    </w:p>
    <w:bookmarkEnd w:id="46"/>
    <w:bookmarkStart w:name="z244" w:id="47"/>
    <w:p>
      <w:pPr>
        <w:spacing w:after="0"/>
        <w:ind w:left="0"/>
        <w:jc w:val="both"/>
      </w:pPr>
      <w:r>
        <w:rPr>
          <w:rFonts w:ascii="Times New Roman"/>
          <w:b w:val="false"/>
          <w:i w:val="false"/>
          <w:color w:val="000000"/>
          <w:sz w:val="28"/>
        </w:rPr>
        <w:t>
      1) посредством электронного сервиса "Единая система сдачи отчетности" заполняется соответствующий шаблон;</w:t>
      </w:r>
    </w:p>
    <w:bookmarkEnd w:id="47"/>
    <w:bookmarkStart w:name="z245" w:id="48"/>
    <w:p>
      <w:pPr>
        <w:spacing w:after="0"/>
        <w:ind w:left="0"/>
        <w:jc w:val="both"/>
      </w:pPr>
      <w:r>
        <w:rPr>
          <w:rFonts w:ascii="Times New Roman"/>
          <w:b w:val="false"/>
          <w:i w:val="false"/>
          <w:color w:val="000000"/>
          <w:sz w:val="28"/>
        </w:rPr>
        <w:t>
      2) в результате заполнения шаблона формируется электронный отчет, подписанный электронной цифровой подписью первого руководителя или уполномоченного лица эмитента;</w:t>
      </w:r>
    </w:p>
    <w:bookmarkEnd w:id="48"/>
    <w:bookmarkStart w:name="z246" w:id="49"/>
    <w:p>
      <w:pPr>
        <w:spacing w:after="0"/>
        <w:ind w:left="0"/>
        <w:jc w:val="both"/>
      </w:pPr>
      <w:r>
        <w:rPr>
          <w:rFonts w:ascii="Times New Roman"/>
          <w:b w:val="false"/>
          <w:i w:val="false"/>
          <w:color w:val="000000"/>
          <w:sz w:val="28"/>
        </w:rPr>
        <w:t xml:space="preserve">
      3) до подписания электронного отчета, к нему прикрепляются сканированные документы в электронном формате PDF, раскрываемые эмитентами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акционерных обществах" и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или по собственной инициативе, которые размещаются во вкладке "электронное досье" эмитента на интернет-ресурсе депозитария финансовой отчетности;</w:t>
      </w:r>
    </w:p>
    <w:bookmarkEnd w:id="49"/>
    <w:bookmarkStart w:name="z247" w:id="50"/>
    <w:p>
      <w:pPr>
        <w:spacing w:after="0"/>
        <w:ind w:left="0"/>
        <w:jc w:val="both"/>
      </w:pPr>
      <w:r>
        <w:rPr>
          <w:rFonts w:ascii="Times New Roman"/>
          <w:b w:val="false"/>
          <w:i w:val="false"/>
          <w:color w:val="000000"/>
          <w:sz w:val="28"/>
        </w:rPr>
        <w:t>
      4) направляется электронный отчет на сервер депозитария финансовой отчетности для включения его в структуру депозитария финансовой отчетности.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9. Основанием для отказа организацией, осуществляющей ведение депозитария финансовой отчетности, в принятии электронного отчета, является несоблюдение эмитентом порядка, указанных в Правилах и (или) неполное раскрытие информации, указанной в Требованиях.</w:t>
      </w:r>
    </w:p>
    <w:bookmarkEnd w:id="51"/>
    <w:bookmarkStart w:name="z61" w:id="52"/>
    <w:p>
      <w:pPr>
        <w:spacing w:after="0"/>
        <w:ind w:left="0"/>
        <w:jc w:val="both"/>
      </w:pPr>
      <w:r>
        <w:rPr>
          <w:rFonts w:ascii="Times New Roman"/>
          <w:b w:val="false"/>
          <w:i w:val="false"/>
          <w:color w:val="000000"/>
          <w:sz w:val="28"/>
        </w:rPr>
        <w:t>
      10. При представлении информации о событиях в соответствии с пунктами 10, 12, 13, 14 и 17 Требований, являющихся последствиями ранее произошедших событий, эмитент в электронном отчете, направляемом на сервер депозитария финансовой отчетности, указывает номер электронного уведомления о результатах обработки электронного отчета, поступившего на сервер депозитария финансовой отчетности по ранее опубликованному первоначальному событию, последствием которого является данное событие.</w:t>
      </w:r>
    </w:p>
    <w:bookmarkEnd w:id="52"/>
    <w:p>
      <w:pPr>
        <w:spacing w:after="0"/>
        <w:ind w:left="0"/>
        <w:jc w:val="both"/>
      </w:pPr>
      <w:r>
        <w:rPr>
          <w:rFonts w:ascii="Times New Roman"/>
          <w:b w:val="false"/>
          <w:i w:val="false"/>
          <w:color w:val="000000"/>
          <w:sz w:val="28"/>
        </w:rPr>
        <w:t>
      Если информация о первоначальном событии в момент его возникновения не подлежала размещению на интернет-ресурсе депозитария финансовой отчетности, указывается номер электронного уведомления о результатах обработки электронного отчета, поступившего на сервер депозитария финансовой отчетности по событию, предшествующему данному событию.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11. Информация, указанная в </w:t>
      </w:r>
      <w:r>
        <w:rPr>
          <w:rFonts w:ascii="Times New Roman"/>
          <w:b w:val="false"/>
          <w:i w:val="false"/>
          <w:color w:val="000000"/>
          <w:sz w:val="28"/>
        </w:rPr>
        <w:t>пункте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представляемая эмитентами, в депозитарий финансовой отчетности, размещается организацией, осуществляющей ведение депозитария финансовой отчетности, на своем интернет-ресурсе в день их получения, в случае представления информации после 18-00 часов по времени города Астаны рабочего дня, то данная информация размещается не позднее 10-00 часов по времени города Астаны первого рабочего дня, следующего за днем получения информации.</w:t>
      </w:r>
    </w:p>
    <w:bookmarkEnd w:id="53"/>
    <w:p>
      <w:pPr>
        <w:spacing w:after="0"/>
        <w:ind w:left="0"/>
        <w:jc w:val="both"/>
      </w:pPr>
      <w:r>
        <w:rPr>
          <w:rFonts w:ascii="Times New Roman"/>
          <w:b w:val="false"/>
          <w:i w:val="false"/>
          <w:color w:val="000000"/>
          <w:sz w:val="28"/>
        </w:rPr>
        <w:t xml:space="preserve">
      Информация, указанная в </w:t>
      </w:r>
      <w:r>
        <w:rPr>
          <w:rFonts w:ascii="Times New Roman"/>
          <w:b w:val="false"/>
          <w:i w:val="false"/>
          <w:color w:val="000000"/>
          <w:sz w:val="28"/>
        </w:rPr>
        <w:t>пункте 6</w:t>
      </w:r>
      <w:r>
        <w:rPr>
          <w:rFonts w:ascii="Times New Roman"/>
          <w:b w:val="false"/>
          <w:i w:val="false"/>
          <w:color w:val="000000"/>
          <w:sz w:val="28"/>
        </w:rPr>
        <w:t xml:space="preserve"> Правил, представляемая эмитентами, в депозитарий финансовой отчетности, размещается организацией, осуществляющей ведение депозитария финансовой отчетности, на своем интернет-ресурсе в течение 3 (трех) рабочих дней с даты ее получения.</w:t>
      </w:r>
    </w:p>
    <w:bookmarkStart w:name="z248" w:id="54"/>
    <w:p>
      <w:pPr>
        <w:spacing w:after="0"/>
        <w:ind w:left="0"/>
        <w:jc w:val="both"/>
      </w:pPr>
      <w:r>
        <w:rPr>
          <w:rFonts w:ascii="Times New Roman"/>
          <w:b w:val="false"/>
          <w:i w:val="false"/>
          <w:color w:val="000000"/>
          <w:sz w:val="28"/>
        </w:rPr>
        <w:t>
      12. По инициативе эмитента допускается корректировка информации, включенной в электронный отчет и опубликованной на интернет-ресурсе депозитария финансовой отчетности, до даты получения эмитентом уведомления уполномоченного органа о предоставлении пояснений о возможном нарушении требования настоящих Правил.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189</w:t>
            </w:r>
          </w:p>
        </w:tc>
      </w:tr>
    </w:tbl>
    <w:bookmarkStart w:name="z66" w:id="55"/>
    <w:p>
      <w:pPr>
        <w:spacing w:after="0"/>
        <w:ind w:left="0"/>
        <w:jc w:val="left"/>
      </w:pPr>
      <w:r>
        <w:rPr>
          <w:rFonts w:ascii="Times New Roman"/>
          <w:b/>
          <w:i w:val="false"/>
          <w:color w:val="000000"/>
        </w:rPr>
        <w:t xml:space="preserve">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w:t>
      </w:r>
    </w:p>
    <w:bookmarkEnd w:id="55"/>
    <w:p>
      <w:pPr>
        <w:spacing w:after="0"/>
        <w:ind w:left="0"/>
        <w:jc w:val="both"/>
      </w:pPr>
      <w:r>
        <w:rPr>
          <w:rFonts w:ascii="Times New Roman"/>
          <w:b w:val="false"/>
          <w:i w:val="false"/>
          <w:color w:val="ff0000"/>
          <w:sz w:val="28"/>
        </w:rPr>
        <w:t xml:space="preserve">
      Сноска. Требования - в редакции постановления Правления Агентства РК по регулированию и развитию финансового рынка от 12.12.2022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решениях, принятых общим собранием акционеров (участников) или единственным акционером (участником)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время и место проведения общего собрания акционеров (участников) эмитента;</w:t>
            </w:r>
          </w:p>
          <w:p>
            <w:pPr>
              <w:spacing w:after="20"/>
              <w:ind w:left="20"/>
              <w:jc w:val="both"/>
            </w:pPr>
            <w:r>
              <w:rPr>
                <w:rFonts w:ascii="Times New Roman"/>
                <w:b w:val="false"/>
                <w:i w:val="false"/>
                <w:color w:val="000000"/>
                <w:sz w:val="20"/>
              </w:rPr>
              <w:t>
2) вопросы, включенные в повестку дня общего собрания акционеров (участников) эмитента;</w:t>
            </w:r>
          </w:p>
          <w:p>
            <w:pPr>
              <w:spacing w:after="20"/>
              <w:ind w:left="20"/>
              <w:jc w:val="both"/>
            </w:pPr>
            <w:r>
              <w:rPr>
                <w:rFonts w:ascii="Times New Roman"/>
                <w:b w:val="false"/>
                <w:i w:val="false"/>
                <w:color w:val="000000"/>
                <w:sz w:val="20"/>
              </w:rPr>
              <w:t>
3) решения, принятые общим собранием акционеров акционерного общества (участников), с указанием итогов (результатов) голосования;</w:t>
            </w:r>
          </w:p>
          <w:p>
            <w:pPr>
              <w:spacing w:after="20"/>
              <w:ind w:left="20"/>
              <w:jc w:val="both"/>
            </w:pPr>
            <w:r>
              <w:rPr>
                <w:rFonts w:ascii="Times New Roman"/>
                <w:b w:val="false"/>
                <w:i w:val="false"/>
                <w:color w:val="000000"/>
                <w:sz w:val="20"/>
              </w:rPr>
              <w:t>
4) в случае принятия общим собранием акционеров акционерного общества (участников) решения о добровольной ликвидации или добровольной реорганизации эмитента его дочерних организаций:</w:t>
            </w:r>
          </w:p>
          <w:p>
            <w:pPr>
              <w:spacing w:after="20"/>
              <w:ind w:left="20"/>
              <w:jc w:val="both"/>
            </w:pPr>
            <w:r>
              <w:rPr>
                <w:rFonts w:ascii="Times New Roman"/>
                <w:b w:val="false"/>
                <w:i w:val="false"/>
                <w:color w:val="000000"/>
                <w:sz w:val="20"/>
              </w:rPr>
              <w:t>
место нахождения, наименование реорганизуемого или ликвидируемого юридического лица;</w:t>
            </w:r>
          </w:p>
          <w:p>
            <w:pPr>
              <w:spacing w:after="20"/>
              <w:ind w:left="20"/>
              <w:jc w:val="both"/>
            </w:pPr>
            <w:r>
              <w:rPr>
                <w:rFonts w:ascii="Times New Roman"/>
                <w:b w:val="false"/>
                <w:i w:val="false"/>
                <w:color w:val="000000"/>
                <w:sz w:val="20"/>
              </w:rPr>
              <w:t>
форма и условия реорганизации эмитента;</w:t>
            </w:r>
          </w:p>
          <w:p>
            <w:pPr>
              <w:spacing w:after="20"/>
              <w:ind w:left="20"/>
              <w:jc w:val="both"/>
            </w:pPr>
            <w:r>
              <w:rPr>
                <w:rFonts w:ascii="Times New Roman"/>
                <w:b w:val="false"/>
                <w:i w:val="false"/>
                <w:color w:val="000000"/>
                <w:sz w:val="20"/>
              </w:rPr>
              <w:t>
5) иные сведения при необходимости.</w:t>
            </w:r>
          </w:p>
          <w:p>
            <w:pPr>
              <w:spacing w:after="20"/>
              <w:ind w:left="20"/>
              <w:jc w:val="both"/>
            </w:pPr>
            <w:r>
              <w:rPr>
                <w:rFonts w:ascii="Times New Roman"/>
                <w:b w:val="false"/>
                <w:i w:val="false"/>
                <w:color w:val="000000"/>
                <w:sz w:val="20"/>
              </w:rPr>
              <w:t>
В случае наличия у эмитента единственного акционера (участника), указывается дата решения единственного акционера (участника), решения, принятые единственным акционером (участником), иные сведения по решению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общего собрания акционеров (участников) или единственным акционером (участником).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об избрании (назначении) либо изменении состава органа эмитента с указанием наименования органа эмитента, принявшего решение. В случае если досрочное прекращение полномочий члена органа управления и (или) исполнительного органа осуществляется по их инициативе, то указывается дата получения письменного уведомления органом управления эмитента;</w:t>
            </w:r>
          </w:p>
          <w:p>
            <w:pPr>
              <w:spacing w:after="20"/>
              <w:ind w:left="20"/>
              <w:jc w:val="both"/>
            </w:pPr>
            <w:r>
              <w:rPr>
                <w:rFonts w:ascii="Times New Roman"/>
                <w:b w:val="false"/>
                <w:i w:val="false"/>
                <w:color w:val="000000"/>
                <w:sz w:val="20"/>
              </w:rPr>
              <w:t>
2) наименование органа эмитента, состав которого избран (назначен) либо изменен;</w:t>
            </w:r>
          </w:p>
          <w:p>
            <w:pPr>
              <w:spacing w:after="20"/>
              <w:ind w:left="20"/>
              <w:jc w:val="both"/>
            </w:pPr>
            <w:r>
              <w:rPr>
                <w:rFonts w:ascii="Times New Roman"/>
                <w:b w:val="false"/>
                <w:i w:val="false"/>
                <w:color w:val="000000"/>
                <w:sz w:val="20"/>
              </w:rPr>
              <w:t>
3) состав органа эмитента либо суть изменений в составе органа эмитента: фамилия, имя, отчество (при его наличии) лиц, избранных (назначенных) в состав органа, фамилия, имя, отчество (при его наличии) лица, избранного (назначенного) в состав органа, а также исключенного из состава органа;</w:t>
            </w:r>
          </w:p>
          <w:p>
            <w:pPr>
              <w:spacing w:after="20"/>
              <w:ind w:left="20"/>
              <w:jc w:val="both"/>
            </w:pPr>
            <w:r>
              <w:rPr>
                <w:rFonts w:ascii="Times New Roman"/>
                <w:b w:val="false"/>
                <w:i w:val="false"/>
                <w:color w:val="000000"/>
                <w:sz w:val="20"/>
              </w:rPr>
              <w:t>
4) состав органа эмитента с учетом внесенных в него изменений с указанием фамилии, имени, отчества (при его наличии) каждого лица, входящего в состав органа эмитента;</w:t>
            </w:r>
          </w:p>
          <w:p>
            <w:pPr>
              <w:spacing w:after="20"/>
              <w:ind w:left="20"/>
              <w:jc w:val="both"/>
            </w:pPr>
            <w:r>
              <w:rPr>
                <w:rFonts w:ascii="Times New Roman"/>
                <w:b w:val="false"/>
                <w:i w:val="false"/>
                <w:color w:val="000000"/>
                <w:sz w:val="20"/>
              </w:rPr>
              <w:t>
5) процентное соотношение голосующих акций (долей участия в уставном капитале) принадлежащих избранному (назначенному) члену совета директоров (наблюдательного совета) эмитента, к общему количеству голосующих акций (долей участия в уставном капитале) эмитента;</w:t>
            </w:r>
          </w:p>
          <w:p>
            <w:pPr>
              <w:spacing w:after="20"/>
              <w:ind w:left="20"/>
              <w:jc w:val="both"/>
            </w:pPr>
            <w:r>
              <w:rPr>
                <w:rFonts w:ascii="Times New Roman"/>
                <w:b w:val="false"/>
                <w:i w:val="false"/>
                <w:color w:val="000000"/>
                <w:sz w:val="20"/>
              </w:rPr>
              <w:t>
6) процентное соотношение акций (долей участия в уставном капитале), принадлежащих избранному (назначенному) члену совета директоров эмитента в дочерних организациях, к общему количеству размещенных акций (долей участия в уставном капитале) данных организаций.</w:t>
            </w:r>
          </w:p>
          <w:p>
            <w:pPr>
              <w:spacing w:after="20"/>
              <w:ind w:left="20"/>
              <w:jc w:val="both"/>
            </w:pPr>
            <w:r>
              <w:rPr>
                <w:rFonts w:ascii="Times New Roman"/>
                <w:b w:val="false"/>
                <w:i w:val="false"/>
                <w:color w:val="000000"/>
                <w:sz w:val="20"/>
              </w:rPr>
              <w:t>
В случае если общим собранием акционеров (участниками) и (или) советом директоров (наблюдательным советом) эмитента принято решение только об изменении состава органов эмитента, информация о данном решении размещается только в соответствии с пунктом 2 настоящего приложения с указанием об этом.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об избрании (назначении) либо изменении состава органа эмитента или после даты получения письменного уведомления органом управления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составе участников, и (или) об изменении в составе участников, владеющих десятью и более процентами долей участия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 участников, владеющих десятью и более процентами долей участия эмитента:</w:t>
            </w:r>
          </w:p>
          <w:p>
            <w:pPr>
              <w:spacing w:after="20"/>
              <w:ind w:left="20"/>
              <w:jc w:val="both"/>
            </w:pPr>
            <w:r>
              <w:rPr>
                <w:rFonts w:ascii="Times New Roman"/>
                <w:b w:val="false"/>
                <w:i w:val="false"/>
                <w:color w:val="000000"/>
                <w:sz w:val="20"/>
              </w:rPr>
              <w:t>
для физического лица - фамилия, имя, отчество (при его наличии) лица;</w:t>
            </w:r>
          </w:p>
          <w:p>
            <w:pPr>
              <w:spacing w:after="20"/>
              <w:ind w:left="20"/>
              <w:jc w:val="both"/>
            </w:pPr>
            <w:r>
              <w:rPr>
                <w:rFonts w:ascii="Times New Roman"/>
                <w:b w:val="false"/>
                <w:i w:val="false"/>
                <w:color w:val="000000"/>
                <w:sz w:val="20"/>
              </w:rPr>
              <w:t>
для юридического лица - полное наименование и место нахождения юридического лица;</w:t>
            </w:r>
          </w:p>
          <w:p>
            <w:pPr>
              <w:spacing w:after="20"/>
              <w:ind w:left="20"/>
              <w:jc w:val="both"/>
            </w:pPr>
            <w:r>
              <w:rPr>
                <w:rFonts w:ascii="Times New Roman"/>
                <w:b w:val="false"/>
                <w:i w:val="false"/>
                <w:color w:val="000000"/>
                <w:sz w:val="20"/>
              </w:rPr>
              <w:t>
2) дата изменения состава участников, владеющих десятью и более процентами долей участия эмитента (дата регистрации изменений в системе реестров держателей ценных бумаг или системе учета номинального держания или Национальном реестре бизнес-идентификационных номеров);</w:t>
            </w:r>
          </w:p>
          <w:p>
            <w:pPr>
              <w:spacing w:after="20"/>
              <w:ind w:left="20"/>
              <w:jc w:val="both"/>
            </w:pPr>
            <w:r>
              <w:rPr>
                <w:rFonts w:ascii="Times New Roman"/>
                <w:b w:val="false"/>
                <w:i w:val="false"/>
                <w:color w:val="000000"/>
                <w:sz w:val="20"/>
              </w:rPr>
              <w:t>
3) суть изменений в составе участников эмитента:</w:t>
            </w:r>
          </w:p>
          <w:p>
            <w:pPr>
              <w:spacing w:after="20"/>
              <w:ind w:left="20"/>
              <w:jc w:val="both"/>
            </w:pPr>
            <w:r>
              <w:rPr>
                <w:rFonts w:ascii="Times New Roman"/>
                <w:b w:val="false"/>
                <w:i w:val="false"/>
                <w:color w:val="000000"/>
                <w:sz w:val="20"/>
              </w:rPr>
              <w:t>
для физического лица - фамилия, имя, отчество (при его наличии) лица, включенного в состав участников либо исключенного из состава участников;</w:t>
            </w:r>
          </w:p>
          <w:p>
            <w:pPr>
              <w:spacing w:after="20"/>
              <w:ind w:left="20"/>
              <w:jc w:val="both"/>
            </w:pPr>
            <w:r>
              <w:rPr>
                <w:rFonts w:ascii="Times New Roman"/>
                <w:b w:val="false"/>
                <w:i w:val="false"/>
                <w:color w:val="000000"/>
                <w:sz w:val="20"/>
              </w:rPr>
              <w:t>
для юридического лица - полное наименование и место нахождения юридического лица, включенного в состав участников либо исключенного из состава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документов, подтверждающих регистрацию изменений в системе реестров держателей ценных бумаг или системе учета номинального держания или Национальном реестре бизнес-идентификационных номеров.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эмитента или соответствующего органа эмитента, не являющегося акционерным обществом, уполномоченным на принятие решения о созыве годового и внеочередного общего собрания акционеров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w:t>
            </w:r>
          </w:p>
          <w:p>
            <w:pPr>
              <w:spacing w:after="20"/>
              <w:ind w:left="20"/>
              <w:jc w:val="both"/>
            </w:pPr>
            <w:r>
              <w:rPr>
                <w:rFonts w:ascii="Times New Roman"/>
                <w:b w:val="false"/>
                <w:i w:val="false"/>
                <w:color w:val="000000"/>
                <w:sz w:val="20"/>
              </w:rPr>
              <w:t>
2) решение, принятое советом директоров или соответствующим органом эмитента, не являющегося акционерным обществом, уполномоченным на принятие решения о созыве годового и внеочередного общего собрания акционеров (участников);</w:t>
            </w:r>
          </w:p>
          <w:p>
            <w:pPr>
              <w:spacing w:after="20"/>
              <w:ind w:left="20"/>
              <w:jc w:val="both"/>
            </w:pPr>
            <w:r>
              <w:rPr>
                <w:rFonts w:ascii="Times New Roman"/>
                <w:b w:val="false"/>
                <w:i w:val="false"/>
                <w:color w:val="000000"/>
                <w:sz w:val="20"/>
              </w:rPr>
              <w:t>
3)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эмитента или соответствующим органом эмитента, не являющегося акционерным обществом, уполномоченным на принятие данного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акционерного общества о размещении (реализации) акций, в том числе о количестве размещаемых (реализуемых) акций в пределах количества объявленных акций, способе и цене их размещения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w:t>
            </w:r>
          </w:p>
          <w:p>
            <w:pPr>
              <w:spacing w:after="20"/>
              <w:ind w:left="20"/>
              <w:jc w:val="both"/>
            </w:pPr>
            <w:r>
              <w:rPr>
                <w:rFonts w:ascii="Times New Roman"/>
                <w:b w:val="false"/>
                <w:i w:val="false"/>
                <w:color w:val="000000"/>
                <w:sz w:val="20"/>
              </w:rPr>
              <w:t>
2) решение (решения), принятое (принятые) советом директоров;</w:t>
            </w:r>
          </w:p>
          <w:p>
            <w:pPr>
              <w:spacing w:after="20"/>
              <w:ind w:left="20"/>
              <w:jc w:val="both"/>
            </w:pPr>
            <w:r>
              <w:rPr>
                <w:rFonts w:ascii="Times New Roman"/>
                <w:b w:val="false"/>
                <w:i w:val="false"/>
                <w:color w:val="000000"/>
                <w:sz w:val="20"/>
              </w:rPr>
              <w:t>
3) вид и количество размещаемых (реализуемых) акций;</w:t>
            </w:r>
          </w:p>
          <w:p>
            <w:pPr>
              <w:spacing w:after="20"/>
              <w:ind w:left="20"/>
              <w:jc w:val="both"/>
            </w:pPr>
            <w:r>
              <w:rPr>
                <w:rFonts w:ascii="Times New Roman"/>
                <w:b w:val="false"/>
                <w:i w:val="false"/>
                <w:color w:val="000000"/>
                <w:sz w:val="20"/>
              </w:rPr>
              <w:t>
4) способ размещения;</w:t>
            </w:r>
          </w:p>
          <w:p>
            <w:pPr>
              <w:spacing w:after="20"/>
              <w:ind w:left="20"/>
              <w:jc w:val="both"/>
            </w:pPr>
            <w:r>
              <w:rPr>
                <w:rFonts w:ascii="Times New Roman"/>
                <w:b w:val="false"/>
                <w:i w:val="false"/>
                <w:color w:val="000000"/>
                <w:sz w:val="20"/>
              </w:rPr>
              <w:t>
5) цена размещения (реализации);</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акционерного общества о выкупе акционерным обществом размещенных акций, если количество выкупаемых обществом акций превышает один процент от общего количества размещенных акций, и цене их выкупа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w:t>
            </w:r>
          </w:p>
          <w:p>
            <w:pPr>
              <w:spacing w:after="20"/>
              <w:ind w:left="20"/>
              <w:jc w:val="both"/>
            </w:pPr>
            <w:r>
              <w:rPr>
                <w:rFonts w:ascii="Times New Roman"/>
                <w:b w:val="false"/>
                <w:i w:val="false"/>
                <w:color w:val="000000"/>
                <w:sz w:val="20"/>
              </w:rPr>
              <w:t>
2) решение (решения), принятое (принятые) советом директоров общества;</w:t>
            </w:r>
          </w:p>
          <w:p>
            <w:pPr>
              <w:spacing w:after="20"/>
              <w:ind w:left="20"/>
              <w:jc w:val="both"/>
            </w:pPr>
            <w:r>
              <w:rPr>
                <w:rFonts w:ascii="Times New Roman"/>
                <w:b w:val="false"/>
                <w:i w:val="false"/>
                <w:color w:val="000000"/>
                <w:sz w:val="20"/>
              </w:rPr>
              <w:t>
3) вид и количество выкупаемых акций по инициативе общества;</w:t>
            </w:r>
          </w:p>
          <w:p>
            <w:pPr>
              <w:spacing w:after="20"/>
              <w:ind w:left="20"/>
              <w:jc w:val="both"/>
            </w:pPr>
            <w:r>
              <w:rPr>
                <w:rFonts w:ascii="Times New Roman"/>
                <w:b w:val="false"/>
                <w:i w:val="false"/>
                <w:color w:val="000000"/>
                <w:sz w:val="20"/>
              </w:rPr>
              <w:t>
4) цена выкупаемых по инициативе общества акций;</w:t>
            </w:r>
          </w:p>
          <w:p>
            <w:pPr>
              <w:spacing w:after="20"/>
              <w:ind w:left="20"/>
              <w:jc w:val="both"/>
            </w:pPr>
            <w:r>
              <w:rPr>
                <w:rFonts w:ascii="Times New Roman"/>
                <w:b w:val="false"/>
                <w:i w:val="false"/>
                <w:color w:val="000000"/>
                <w:sz w:val="20"/>
              </w:rPr>
              <w:t>
5) срок и условия выкупа по инициативе общества акций;</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эмитента или соответствующего органа эмитента, не являющегося акционерным обществом, уполномоченным на принятие решения о выпуске облигаций и производных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w:t>
            </w:r>
          </w:p>
          <w:p>
            <w:pPr>
              <w:spacing w:after="20"/>
              <w:ind w:left="20"/>
              <w:jc w:val="both"/>
            </w:pPr>
            <w:r>
              <w:rPr>
                <w:rFonts w:ascii="Times New Roman"/>
                <w:b w:val="false"/>
                <w:i w:val="false"/>
                <w:color w:val="000000"/>
                <w:sz w:val="20"/>
              </w:rPr>
              <w:t>
2) решение (решения), принятое (принятые) советом директоров или соответствующим органом эмитента, не являющегося акционерным обществом, уполномоченным на принятие решения;</w:t>
            </w:r>
          </w:p>
          <w:p>
            <w:pPr>
              <w:spacing w:after="20"/>
              <w:ind w:left="20"/>
              <w:jc w:val="both"/>
            </w:pPr>
            <w:r>
              <w:rPr>
                <w:rFonts w:ascii="Times New Roman"/>
                <w:b w:val="false"/>
                <w:i w:val="false"/>
                <w:color w:val="000000"/>
                <w:sz w:val="20"/>
              </w:rPr>
              <w:t>
3) количество и вид выпускаемых облигаций и производных ценных бумаг;</w:t>
            </w:r>
          </w:p>
          <w:p>
            <w:pPr>
              <w:spacing w:after="20"/>
              <w:ind w:left="20"/>
              <w:jc w:val="both"/>
            </w:pPr>
            <w:r>
              <w:rPr>
                <w:rFonts w:ascii="Times New Roman"/>
                <w:b w:val="false"/>
                <w:i w:val="false"/>
                <w:color w:val="000000"/>
                <w:sz w:val="20"/>
              </w:rPr>
              <w:t>
4) номинальная стоимость и валюта номинальной стоимости;</w:t>
            </w:r>
          </w:p>
          <w:p>
            <w:pPr>
              <w:spacing w:after="20"/>
              <w:ind w:left="20"/>
              <w:jc w:val="both"/>
            </w:pPr>
            <w:r>
              <w:rPr>
                <w:rFonts w:ascii="Times New Roman"/>
                <w:b w:val="false"/>
                <w:i w:val="false"/>
                <w:color w:val="000000"/>
                <w:sz w:val="20"/>
              </w:rPr>
              <w:t>
5) объем выпуска;</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эмитента или соответствующим органом эмитента, не являющегося акционерным обществом, уполномоченным на принятие данного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общим собранием акционеров (единственным акционером) или советом директоров акционерного общества о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 крупной сделке и (или) о сделке с заинтересованностью;</w:t>
            </w:r>
          </w:p>
          <w:p>
            <w:pPr>
              <w:spacing w:after="20"/>
              <w:ind w:left="20"/>
              <w:jc w:val="both"/>
            </w:pPr>
            <w:r>
              <w:rPr>
                <w:rFonts w:ascii="Times New Roman"/>
                <w:b w:val="false"/>
                <w:i w:val="false"/>
                <w:color w:val="000000"/>
                <w:sz w:val="20"/>
              </w:rPr>
              <w:t>
2) решение (решения), принятое (принятые) общим собранием акционеров (единственным акционером) или советом директоров акционерного общества;</w:t>
            </w:r>
          </w:p>
          <w:p>
            <w:pPr>
              <w:spacing w:after="20"/>
              <w:ind w:left="20"/>
              <w:jc w:val="both"/>
            </w:pPr>
            <w:r>
              <w:rPr>
                <w:rFonts w:ascii="Times New Roman"/>
                <w:b w:val="false"/>
                <w:i w:val="false"/>
                <w:color w:val="000000"/>
                <w:sz w:val="20"/>
              </w:rPr>
              <w:t>
3) вид сделки;</w:t>
            </w:r>
          </w:p>
          <w:p>
            <w:pPr>
              <w:spacing w:after="20"/>
              <w:ind w:left="20"/>
              <w:jc w:val="both"/>
            </w:pPr>
            <w:r>
              <w:rPr>
                <w:rFonts w:ascii="Times New Roman"/>
                <w:b w:val="false"/>
                <w:i w:val="false"/>
                <w:color w:val="000000"/>
                <w:sz w:val="20"/>
              </w:rPr>
              <w:t>
4) предмет сделки;</w:t>
            </w:r>
          </w:p>
          <w:p>
            <w:pPr>
              <w:spacing w:after="20"/>
              <w:ind w:left="20"/>
              <w:jc w:val="both"/>
            </w:pPr>
            <w:r>
              <w:rPr>
                <w:rFonts w:ascii="Times New Roman"/>
                <w:b w:val="false"/>
                <w:i w:val="false"/>
                <w:color w:val="000000"/>
                <w:sz w:val="20"/>
              </w:rPr>
              <w:t>
5) процентное соотношение стоимости имущества, являющегося предметом крупной сделки и (или) сделки с заинтересованностью, к общей стоимости активов данного акционерного общества, на дату принятия органом акционерного общества решения о заключении такой сделки. Если решение о заключении акционерным обществом крупной сделки и (или) сделки с заинтересованностью,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публикуется только дата принятия решения о заключении крупной сделки и (или) сделки с заинтересованностью, а также иная информация по решению акционерного общества при наличии согласия контрагента. При принятии в течение одного рабочего дня нескольких решений о заключении акционерным обществом крупной сделки и (или) сделки с заинтересованностью, допускается предоставление информации по таким решениям посредством представления акционерным обществом одной заявки, содержащей информацию по нескольким таким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принятия решения общим собранием акционеров (единственным акционером) или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списке, и (или) об изменении в списке организаций, в которых эмитент обладает десятью и более процентами акций (долей, паев) каждой такой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 организаций, в которых эмитент обладает десятью и более процентами акций (долей, паев) каждой такой организации;</w:t>
            </w:r>
          </w:p>
          <w:p>
            <w:pPr>
              <w:spacing w:after="20"/>
              <w:ind w:left="20"/>
              <w:jc w:val="both"/>
            </w:pPr>
            <w:r>
              <w:rPr>
                <w:rFonts w:ascii="Times New Roman"/>
                <w:b w:val="false"/>
                <w:i w:val="false"/>
                <w:color w:val="000000"/>
                <w:sz w:val="20"/>
              </w:rPr>
              <w:t>
2) полное наименование организации, в которой эмитент стал обладать (перестал обладать) десятью и более процентами акций (долей, паев);</w:t>
            </w:r>
          </w:p>
          <w:p>
            <w:pPr>
              <w:spacing w:after="20"/>
              <w:ind w:left="20"/>
              <w:jc w:val="both"/>
            </w:pPr>
            <w:r>
              <w:rPr>
                <w:rFonts w:ascii="Times New Roman"/>
                <w:b w:val="false"/>
                <w:i w:val="false"/>
                <w:color w:val="000000"/>
                <w:sz w:val="20"/>
              </w:rPr>
              <w:t>
3) процентное соотношение количества акций (долей, паев) данной организации к общему количеству размещенных акций (долей, паев) организации на дату, следующую за датой изменения списка организаций, в которых эмитент обладает десятью и более процентами акций (долей, паев).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документов подтверждающих, что эмитент стал обладать (перестал обладать) десятью и более процентами акций (долей, паев) в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заключения договора о крупной сделке и (или) о сделке с заинтересованностью на дату принятия уполномоченным органом общества решения о заключении такой сделки либо дополнительного соглашения (дополнительного соглашения к договору);</w:t>
            </w:r>
          </w:p>
          <w:p>
            <w:pPr>
              <w:spacing w:after="20"/>
              <w:ind w:left="20"/>
              <w:jc w:val="both"/>
            </w:pPr>
            <w:r>
              <w:rPr>
                <w:rFonts w:ascii="Times New Roman"/>
                <w:b w:val="false"/>
                <w:i w:val="false"/>
                <w:color w:val="000000"/>
                <w:sz w:val="20"/>
              </w:rPr>
              <w:t>
2) предмет крупной сделки и (или) сделки с заинтересованностью;</w:t>
            </w:r>
          </w:p>
          <w:p>
            <w:pPr>
              <w:spacing w:after="20"/>
              <w:ind w:left="20"/>
              <w:jc w:val="both"/>
            </w:pPr>
            <w:r>
              <w:rPr>
                <w:rFonts w:ascii="Times New Roman"/>
                <w:b w:val="false"/>
                <w:i w:val="false"/>
                <w:color w:val="000000"/>
                <w:sz w:val="20"/>
              </w:rPr>
              <w:t>
3) дата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4) стоимость имущества, являющегося предметом крупной сделки и (или) сделки с заинтересованностью на дату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5) дата последней оценки имущества, являющегося предметом крупной сделки и (или) сделки с заинтересованностью, за исключением случаев, когда предметом сделки являются деньги и (или) выпускаемые (размещаемые) на первичном рынке ценные бумаги);</w:t>
            </w:r>
          </w:p>
          <w:p>
            <w:pPr>
              <w:spacing w:after="20"/>
              <w:ind w:left="20"/>
              <w:jc w:val="both"/>
            </w:pPr>
            <w:r>
              <w:rPr>
                <w:rFonts w:ascii="Times New Roman"/>
                <w:b w:val="false"/>
                <w:i w:val="false"/>
                <w:color w:val="000000"/>
                <w:sz w:val="20"/>
              </w:rPr>
              <w:t>
6) процентное соотношение стоимости имущества, являющегося предметом крупной сделки и (или) сделки с заинтересованностью, к общей стоимости активов данного акционерного общества, на дату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7) сведения о сторонах крупной сделки и (или) сделки с заинтересованностью, приобретенных или отчуждаемых активах, сроках и условиях сделки, характере и объеме долей участия вовлеченных лиц, а также при наличии иные сведения о сделке.</w:t>
            </w:r>
          </w:p>
          <w:p>
            <w:pPr>
              <w:spacing w:after="20"/>
              <w:ind w:left="20"/>
              <w:jc w:val="both"/>
            </w:pPr>
            <w:r>
              <w:rPr>
                <w:rFonts w:ascii="Times New Roman"/>
                <w:b w:val="false"/>
                <w:i w:val="false"/>
                <w:color w:val="000000"/>
                <w:sz w:val="20"/>
              </w:rPr>
              <w:t>
Если договор о заключении акционерным обществом крупной сделки и (или) сделки с заинтересованностью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сделках публикуется только дата заключения, а также иная информация по решению акционерного общества при наличии согласия контрагента.</w:t>
            </w:r>
          </w:p>
          <w:p>
            <w:pPr>
              <w:spacing w:after="20"/>
              <w:ind w:left="20"/>
              <w:jc w:val="both"/>
            </w:pPr>
            <w:r>
              <w:rPr>
                <w:rFonts w:ascii="Times New Roman"/>
                <w:b w:val="false"/>
                <w:i w:val="false"/>
                <w:color w:val="000000"/>
                <w:sz w:val="20"/>
              </w:rPr>
              <w:t>
При заключении в течение одного рабочего дня нескольких крупных сделок и (или) сделок с заинтересованностью, допускается предоставление информации по таким сделкам посредством представления акционерным обществом одной заявки, содержащей информацию по нескольким таким сделкам.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w:t>
            </w:r>
          </w:p>
          <w:p>
            <w:pPr>
              <w:spacing w:after="20"/>
              <w:ind w:left="20"/>
              <w:jc w:val="both"/>
            </w:pPr>
            <w:r>
              <w:rPr>
                <w:rFonts w:ascii="Times New Roman"/>
                <w:b w:val="false"/>
                <w:i w:val="false"/>
                <w:color w:val="000000"/>
                <w:sz w:val="20"/>
              </w:rPr>
              <w:t>
заключения акционерным обществом договора либо дополнительного соглашения к договору;</w:t>
            </w:r>
          </w:p>
          <w:p>
            <w:pPr>
              <w:spacing w:after="20"/>
              <w:ind w:left="20"/>
              <w:jc w:val="both"/>
            </w:pPr>
            <w:r>
              <w:rPr>
                <w:rFonts w:ascii="Times New Roman"/>
                <w:b w:val="false"/>
                <w:i w:val="false"/>
                <w:color w:val="000000"/>
                <w:sz w:val="20"/>
              </w:rPr>
              <w:t>
получения акционерным обществом документов, подтверждающих ее государственную или иную регистрацию, в случае, если для заключения крупной сделки и (или) сделки с заинтересованностью, необходима обязательная государственная или иная регистрация.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 принудительной ликвидации или реорганизации эмитента, дочерней организации и зависимой организации;</w:t>
            </w:r>
          </w:p>
          <w:p>
            <w:pPr>
              <w:spacing w:after="20"/>
              <w:ind w:left="20"/>
              <w:jc w:val="both"/>
            </w:pPr>
            <w:r>
              <w:rPr>
                <w:rFonts w:ascii="Times New Roman"/>
                <w:b w:val="false"/>
                <w:i w:val="false"/>
                <w:color w:val="000000"/>
                <w:sz w:val="20"/>
              </w:rPr>
              <w:t>
2) наименование государственного органа, принявшего решение о принудительной ликвидации или реорганизации эмитента, дочерней организации и зависимой организации;</w:t>
            </w:r>
          </w:p>
          <w:p>
            <w:pPr>
              <w:spacing w:after="20"/>
              <w:ind w:left="20"/>
              <w:jc w:val="both"/>
            </w:pPr>
            <w:r>
              <w:rPr>
                <w:rFonts w:ascii="Times New Roman"/>
                <w:b w:val="false"/>
                <w:i w:val="false"/>
                <w:color w:val="000000"/>
                <w:sz w:val="20"/>
              </w:rPr>
              <w:t>
3) основание принятия решения о принудительной ликвидации или реорганизации эмитента, дочерней организации и зависимой организации;</w:t>
            </w:r>
          </w:p>
          <w:p>
            <w:pPr>
              <w:spacing w:after="20"/>
              <w:ind w:left="20"/>
              <w:jc w:val="both"/>
            </w:pPr>
            <w:r>
              <w:rPr>
                <w:rFonts w:ascii="Times New Roman"/>
                <w:b w:val="false"/>
                <w:i w:val="false"/>
                <w:color w:val="000000"/>
                <w:sz w:val="20"/>
              </w:rPr>
              <w:t>
4) место нахождения и наименование ликвидируемой или реорганизуемой дочерней организации эмитента и (или) зависимой организации;</w:t>
            </w:r>
          </w:p>
          <w:p>
            <w:pPr>
              <w:spacing w:after="20"/>
              <w:ind w:left="20"/>
              <w:jc w:val="both"/>
            </w:pPr>
            <w:r>
              <w:rPr>
                <w:rFonts w:ascii="Times New Roman"/>
                <w:b w:val="false"/>
                <w:i w:val="false"/>
                <w:color w:val="000000"/>
                <w:sz w:val="20"/>
              </w:rPr>
              <w:t>
5) форма и условия ликвидации или реорганизации эмитента, дочерней организации эмитента и зависимой организации;</w:t>
            </w:r>
          </w:p>
          <w:p>
            <w:pPr>
              <w:spacing w:after="20"/>
              <w:ind w:left="20"/>
              <w:jc w:val="both"/>
            </w:pPr>
            <w:r>
              <w:rPr>
                <w:rFonts w:ascii="Times New Roman"/>
                <w:b w:val="false"/>
                <w:i w:val="false"/>
                <w:color w:val="000000"/>
                <w:sz w:val="20"/>
              </w:rPr>
              <w:t>
6) иные условия принудительной ликвидации или реорганизации эмитента, дочерней организации эмитента и зависимой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вступления в законную силу соответствующего решения суда.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органом эмитента решения о передаче в залог (перезалог);</w:t>
            </w:r>
          </w:p>
          <w:p>
            <w:pPr>
              <w:spacing w:after="20"/>
              <w:ind w:left="20"/>
              <w:jc w:val="both"/>
            </w:pPr>
            <w:r>
              <w:rPr>
                <w:rFonts w:ascii="Times New Roman"/>
                <w:b w:val="false"/>
                <w:i w:val="false"/>
                <w:color w:val="000000"/>
                <w:sz w:val="20"/>
              </w:rPr>
              <w:t>
2) дата возникновения права залога (перезалога) имущества эмитента;</w:t>
            </w:r>
          </w:p>
          <w:p>
            <w:pPr>
              <w:spacing w:after="20"/>
              <w:ind w:left="20"/>
              <w:jc w:val="both"/>
            </w:pPr>
            <w:r>
              <w:rPr>
                <w:rFonts w:ascii="Times New Roman"/>
                <w:b w:val="false"/>
                <w:i w:val="false"/>
                <w:color w:val="000000"/>
                <w:sz w:val="20"/>
              </w:rPr>
              <w:t>
3) стоимость имущества эмитента, передаваемого в залог (перезалог);</w:t>
            </w:r>
          </w:p>
          <w:p>
            <w:pPr>
              <w:spacing w:after="20"/>
              <w:ind w:left="20"/>
              <w:jc w:val="both"/>
            </w:pPr>
            <w:r>
              <w:rPr>
                <w:rFonts w:ascii="Times New Roman"/>
                <w:b w:val="false"/>
                <w:i w:val="false"/>
                <w:color w:val="000000"/>
                <w:sz w:val="20"/>
              </w:rPr>
              <w:t>
4) дата последней оценки имущества эмитента, передаваемого в залог (перезалог) (в случае, если проведение такой оценки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
5) процентное соотношение стоимости имущества, передаваемого в залог (перезалог), к общей стоимости активов данного эмитента на дату принятия органом эмитента решения о передаче в залог (перезалог) имущества эмитента;</w:t>
            </w:r>
          </w:p>
          <w:p>
            <w:pPr>
              <w:spacing w:after="20"/>
              <w:ind w:left="20"/>
              <w:jc w:val="both"/>
            </w:pPr>
            <w:r>
              <w:rPr>
                <w:rFonts w:ascii="Times New Roman"/>
                <w:b w:val="false"/>
                <w:i w:val="false"/>
                <w:color w:val="000000"/>
                <w:sz w:val="20"/>
              </w:rPr>
              <w:t>
6) дата снятия с залога (перезалога).</w:t>
            </w:r>
          </w:p>
          <w:p>
            <w:pPr>
              <w:spacing w:after="20"/>
              <w:ind w:left="20"/>
              <w:jc w:val="both"/>
            </w:pPr>
            <w:r>
              <w:rPr>
                <w:rFonts w:ascii="Times New Roman"/>
                <w:b w:val="false"/>
                <w:i w:val="false"/>
                <w:color w:val="000000"/>
                <w:sz w:val="20"/>
              </w:rPr>
              <w:t>
Если совершенная эмитентом сделка по передаче в залог (перезалог) имущества эмитента является одновременно крупной сделкой и (или) сделкой, в совершении которой эмитентом имеется заинтересованность, информация о такой сделке размещается только в соответствии с пунктом 12 настоящего приложения с указанием об этом.</w:t>
            </w:r>
          </w:p>
          <w:p>
            <w:pPr>
              <w:spacing w:after="20"/>
              <w:ind w:left="20"/>
              <w:jc w:val="both"/>
            </w:pPr>
            <w:r>
              <w:rPr>
                <w:rFonts w:ascii="Times New Roman"/>
                <w:b w:val="false"/>
                <w:i w:val="false"/>
                <w:color w:val="000000"/>
                <w:sz w:val="20"/>
              </w:rPr>
              <w:t>
Если договор о передаче в залог (перезалог) имущества эмитента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передаче в залог (перезалог) имущества публикуется только дата заключения договора, а также иная информация по решению эмитента при наличии согласия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w:t>
            </w:r>
          </w:p>
          <w:p>
            <w:pPr>
              <w:spacing w:after="20"/>
              <w:ind w:left="20"/>
              <w:jc w:val="both"/>
            </w:pPr>
            <w:r>
              <w:rPr>
                <w:rFonts w:ascii="Times New Roman"/>
                <w:b w:val="false"/>
                <w:i w:val="false"/>
                <w:color w:val="000000"/>
                <w:sz w:val="20"/>
              </w:rPr>
              <w:t>
получения эмитентом документов, подтверждающих регистрацию договора о залоге (перезалоге) имущества эмитента на сумму, составляющую десять и более процентов от размера общей балансовой стоимости активов данного эмитента – в отношении имущества, залог которого подлежит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заключения договора о залоге (перезалоге) имущества эмитента на сумму, составляющую десять и более процентов от размера общей балансовой стоимости активов данного эмитента – в отношении имущества, залог которого не подлежит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получения эмитентом документов, подтверждающих снятие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номер решения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p>
            <w:pPr>
              <w:spacing w:after="20"/>
              <w:ind w:left="20"/>
              <w:jc w:val="both"/>
            </w:pPr>
            <w:r>
              <w:rPr>
                <w:rFonts w:ascii="Times New Roman"/>
                <w:b w:val="false"/>
                <w:i w:val="false"/>
                <w:color w:val="000000"/>
                <w:sz w:val="20"/>
              </w:rPr>
              <w:t>
2) наименование государственного органа, принявшего решение об аресте (снятии с ареста имущества) имущества эмитента, стоимость которого составляет десять и более процентов от размера общей балансовой стоимости активов эмитента, основание наложения ареста;</w:t>
            </w:r>
          </w:p>
          <w:p>
            <w:pPr>
              <w:spacing w:after="20"/>
              <w:ind w:left="20"/>
              <w:jc w:val="both"/>
            </w:pPr>
            <w:r>
              <w:rPr>
                <w:rFonts w:ascii="Times New Roman"/>
                <w:b w:val="false"/>
                <w:i w:val="false"/>
                <w:color w:val="000000"/>
                <w:sz w:val="20"/>
              </w:rPr>
              <w:t>
3) наименование имущества эмитента, на которое наложен арест (снят арест) и его процентное соотношение к общей стоимости активов общества на дату ареста (снятия с ареста) имущества общества. В случае наложения ареста (снятия ареста) на деньги должника, находящиеся в банках, организациях, осуществляющих отдельные виды банковских операций, - указание суммы денег, на которую наложен арест (снят арест). В случае наложения ареста (снятия ареста) на ценные бумаги эмитента - общее количество арестованных (снятых с ареста) ценных бумаг, их вид, идентификационный номер, сведения об эмитенте данных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решения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органом эмитента решения о получении займа (кредитной линии);</w:t>
            </w:r>
          </w:p>
          <w:p>
            <w:pPr>
              <w:spacing w:after="20"/>
              <w:ind w:left="20"/>
              <w:jc w:val="both"/>
            </w:pPr>
            <w:r>
              <w:rPr>
                <w:rFonts w:ascii="Times New Roman"/>
                <w:b w:val="false"/>
                <w:i w:val="false"/>
                <w:color w:val="000000"/>
                <w:sz w:val="20"/>
              </w:rPr>
              <w:t>
2) дата заключения договора о займе (кредитной линии);</w:t>
            </w:r>
          </w:p>
          <w:p>
            <w:pPr>
              <w:spacing w:after="20"/>
              <w:ind w:left="20"/>
              <w:jc w:val="both"/>
            </w:pPr>
            <w:r>
              <w:rPr>
                <w:rFonts w:ascii="Times New Roman"/>
                <w:b w:val="false"/>
                <w:i w:val="false"/>
                <w:color w:val="000000"/>
                <w:sz w:val="20"/>
              </w:rPr>
              <w:t>
3) общий размер займа (кредитной линии) эмитента, определенный договором;</w:t>
            </w:r>
          </w:p>
          <w:p>
            <w:pPr>
              <w:spacing w:after="20"/>
              <w:ind w:left="20"/>
              <w:jc w:val="both"/>
            </w:pPr>
            <w:r>
              <w:rPr>
                <w:rFonts w:ascii="Times New Roman"/>
                <w:b w:val="false"/>
                <w:i w:val="false"/>
                <w:color w:val="000000"/>
                <w:sz w:val="20"/>
              </w:rPr>
              <w:t>
4) цель получения эмитентом займа;</w:t>
            </w:r>
          </w:p>
          <w:p>
            <w:pPr>
              <w:spacing w:after="20"/>
              <w:ind w:left="20"/>
              <w:jc w:val="both"/>
            </w:pPr>
            <w:r>
              <w:rPr>
                <w:rFonts w:ascii="Times New Roman"/>
                <w:b w:val="false"/>
                <w:i w:val="false"/>
                <w:color w:val="000000"/>
                <w:sz w:val="20"/>
              </w:rPr>
              <w:t>
5) процентное соотношение размера полученного эмитентом займа (кредитной линии) к общей балансовой стоимости активов эмитента на дату принятия органом эмитента решения о получении займа;</w:t>
            </w:r>
          </w:p>
          <w:p>
            <w:pPr>
              <w:spacing w:after="20"/>
              <w:ind w:left="20"/>
              <w:jc w:val="both"/>
            </w:pPr>
            <w:r>
              <w:rPr>
                <w:rFonts w:ascii="Times New Roman"/>
                <w:b w:val="false"/>
                <w:i w:val="false"/>
                <w:color w:val="000000"/>
                <w:sz w:val="20"/>
              </w:rPr>
              <w:t>
6) дата полного погашения основного долга и начисленного вознаграждения по данному займу (кредитной линии).</w:t>
            </w:r>
          </w:p>
          <w:p>
            <w:pPr>
              <w:spacing w:after="20"/>
              <w:ind w:left="20"/>
              <w:jc w:val="both"/>
            </w:pPr>
            <w:r>
              <w:rPr>
                <w:rFonts w:ascii="Times New Roman"/>
                <w:b w:val="false"/>
                <w:i w:val="false"/>
                <w:color w:val="000000"/>
                <w:sz w:val="20"/>
              </w:rPr>
              <w:t>
В случае заключения эмитентом кредитной линии, составляющей двадцать пять и более процентов от размера общей балансовой стоимости активов эмитента, информация о данном событии подлежит дополнительному размещению, когда общая сумма выданных и непогашенных займов с учетом начисленного вознаграждения в рамках данной кредитной линии достигнет двадцать пять и более процентов от размера общей балансовой стоимости активов эмитента.</w:t>
            </w:r>
          </w:p>
          <w:p>
            <w:pPr>
              <w:spacing w:after="20"/>
              <w:ind w:left="20"/>
              <w:jc w:val="both"/>
            </w:pPr>
            <w:r>
              <w:rPr>
                <w:rFonts w:ascii="Times New Roman"/>
                <w:b w:val="false"/>
                <w:i w:val="false"/>
                <w:color w:val="000000"/>
                <w:sz w:val="20"/>
              </w:rPr>
              <w:t>
Если совершенная эмитентом сделка по получению займа является одновременно крупной сделкой и (или) сделкой, в совершении которой эмитентом имеется заинтересованность, информация о такой сделке размещается только в соответствии с пунктом 14 настоящего приложения с указанием об этом.</w:t>
            </w:r>
          </w:p>
          <w:p>
            <w:pPr>
              <w:spacing w:after="20"/>
              <w:ind w:left="20"/>
              <w:jc w:val="both"/>
            </w:pPr>
            <w:r>
              <w:rPr>
                <w:rFonts w:ascii="Times New Roman"/>
                <w:b w:val="false"/>
                <w:i w:val="false"/>
                <w:color w:val="000000"/>
                <w:sz w:val="20"/>
              </w:rPr>
              <w:t>
Если договор о получении эмитентом займа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получении эмитентом займа публикуется только дата заключения договора, а также иная информация по решению эмитента при наличии согласия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w:t>
            </w:r>
          </w:p>
          <w:p>
            <w:pPr>
              <w:spacing w:after="20"/>
              <w:ind w:left="20"/>
              <w:jc w:val="both"/>
            </w:pPr>
            <w:r>
              <w:rPr>
                <w:rFonts w:ascii="Times New Roman"/>
                <w:b w:val="false"/>
                <w:i w:val="false"/>
                <w:color w:val="000000"/>
                <w:sz w:val="20"/>
              </w:rPr>
              <w:t>
заключения эмитентом договора о займе или кредитной линии в размере, составляющем, двадцать пять и более процентов от размера общей балансовой стоимости активов эмитента или полного погашения эмитентом основного долга и начисленного вознаграждения по данному займу или кредитной линии;</w:t>
            </w:r>
          </w:p>
          <w:p>
            <w:pPr>
              <w:spacing w:after="20"/>
              <w:ind w:left="20"/>
              <w:jc w:val="both"/>
            </w:pPr>
            <w:r>
              <w:rPr>
                <w:rFonts w:ascii="Times New Roman"/>
                <w:b w:val="false"/>
                <w:i w:val="false"/>
                <w:color w:val="000000"/>
                <w:sz w:val="20"/>
              </w:rPr>
              <w:t>
когда общая сумма полученных и непогашенных займов с учетом начисленного вознаграждения в рамках одной кредитной линии достигнет двадцать пять и более процентов от размера общей балансовой стоимости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наступления обстоятельств, носящих чрезвычайный характер, повлекших уничтожение имущества эмитента;</w:t>
            </w:r>
          </w:p>
          <w:p>
            <w:pPr>
              <w:spacing w:after="20"/>
              <w:ind w:left="20"/>
              <w:jc w:val="both"/>
            </w:pPr>
            <w:r>
              <w:rPr>
                <w:rFonts w:ascii="Times New Roman"/>
                <w:b w:val="false"/>
                <w:i w:val="false"/>
                <w:color w:val="000000"/>
                <w:sz w:val="20"/>
              </w:rPr>
              <w:t>
2) наименование имущества эмитента, уничтоженного в связи с наступлением обстоятельств, носящих чрезвычайный характер;</w:t>
            </w:r>
          </w:p>
          <w:p>
            <w:pPr>
              <w:spacing w:after="20"/>
              <w:ind w:left="20"/>
              <w:jc w:val="both"/>
            </w:pPr>
            <w:r>
              <w:rPr>
                <w:rFonts w:ascii="Times New Roman"/>
                <w:b w:val="false"/>
                <w:i w:val="false"/>
                <w:color w:val="000000"/>
                <w:sz w:val="20"/>
              </w:rPr>
              <w:t>
3) балансовая стоимость уничтоженного имущества эмитента в результате наступления обстоятельств, носящих чрезвычайный характер.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наступления обстоятельств, носящих чрезвычайный характер, повлекших уничтожение имущества эмитента, балансовая стоимость которого составляла десять и более процентов от общего размера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возбуждении в суде дела по корпоративному спору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об истце, ответчике по корпоративному спору (фамилия, имя, отчество (при его наличии) (для физического лица), полное наименование, место нахождения (для юридического лица));</w:t>
            </w:r>
          </w:p>
          <w:p>
            <w:pPr>
              <w:spacing w:after="20"/>
              <w:ind w:left="20"/>
              <w:jc w:val="both"/>
            </w:pPr>
            <w:r>
              <w:rPr>
                <w:rFonts w:ascii="Times New Roman"/>
                <w:b w:val="false"/>
                <w:i w:val="false"/>
                <w:color w:val="000000"/>
                <w:sz w:val="20"/>
              </w:rPr>
              <w:t>
2) дата искового заявления, краткое содержание исковых требований;</w:t>
            </w:r>
          </w:p>
          <w:p>
            <w:pPr>
              <w:spacing w:after="20"/>
              <w:ind w:left="20"/>
              <w:jc w:val="both"/>
            </w:pPr>
            <w:r>
              <w:rPr>
                <w:rFonts w:ascii="Times New Roman"/>
                <w:b w:val="false"/>
                <w:i w:val="false"/>
                <w:color w:val="000000"/>
                <w:sz w:val="20"/>
              </w:rPr>
              <w:t>
3) наименование суда, в котором рассматривается исковое заявление по корпоративному спору.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соответствующего судебного извещения (вызова) по гражданскому делу по корпоративному спору.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(прекращении, приостановлении) разрешений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разрешительного органа, выдавшего разрешение первой категории, принявшего решение о приостановлении, прекращении действия разрешения первой категории;</w:t>
            </w:r>
          </w:p>
          <w:p>
            <w:pPr>
              <w:spacing w:after="20"/>
              <w:ind w:left="20"/>
              <w:jc w:val="both"/>
            </w:pPr>
            <w:r>
              <w:rPr>
                <w:rFonts w:ascii="Times New Roman"/>
                <w:b w:val="false"/>
                <w:i w:val="false"/>
                <w:color w:val="000000"/>
                <w:sz w:val="20"/>
              </w:rPr>
              <w:t>
2) дата выдачи, номер разрешения первой категории, срок действия разрешения;</w:t>
            </w:r>
          </w:p>
          <w:p>
            <w:pPr>
              <w:spacing w:after="20"/>
              <w:ind w:left="20"/>
              <w:jc w:val="both"/>
            </w:pPr>
            <w:r>
              <w:rPr>
                <w:rFonts w:ascii="Times New Roman"/>
                <w:b w:val="false"/>
                <w:i w:val="false"/>
                <w:color w:val="000000"/>
                <w:sz w:val="20"/>
              </w:rPr>
              <w:t>
3) наименование вида деятельности, которое будет осуществляться в соответствии с разрешением первой категории;</w:t>
            </w:r>
          </w:p>
          <w:p>
            <w:pPr>
              <w:spacing w:after="20"/>
              <w:ind w:left="20"/>
              <w:jc w:val="both"/>
            </w:pPr>
            <w:r>
              <w:rPr>
                <w:rFonts w:ascii="Times New Roman"/>
                <w:b w:val="false"/>
                <w:i w:val="false"/>
                <w:color w:val="000000"/>
                <w:sz w:val="20"/>
              </w:rPr>
              <w:t>
4) дата принятия разрешительным органом решений о приостановлении (сроке приостановления), дате возобновления действия разрешения первой категории;</w:t>
            </w:r>
          </w:p>
          <w:p>
            <w:pPr>
              <w:spacing w:after="20"/>
              <w:ind w:left="20"/>
              <w:jc w:val="both"/>
            </w:pPr>
            <w:r>
              <w:rPr>
                <w:rFonts w:ascii="Times New Roman"/>
                <w:b w:val="false"/>
                <w:i w:val="false"/>
                <w:color w:val="000000"/>
                <w:sz w:val="20"/>
              </w:rPr>
              <w:t>
5) основание приостановления (возобновления) разрешения первой категории;</w:t>
            </w:r>
          </w:p>
          <w:p>
            <w:pPr>
              <w:spacing w:after="20"/>
              <w:ind w:left="20"/>
              <w:jc w:val="both"/>
            </w:pPr>
            <w:r>
              <w:rPr>
                <w:rFonts w:ascii="Times New Roman"/>
                <w:b w:val="false"/>
                <w:i w:val="false"/>
                <w:color w:val="000000"/>
                <w:sz w:val="20"/>
              </w:rPr>
              <w:t>
6) наименование вида деятельности, разрешение, на осуществление которого было приостановлено (возобновлено);</w:t>
            </w:r>
          </w:p>
          <w:p>
            <w:pPr>
              <w:spacing w:after="20"/>
              <w:ind w:left="20"/>
              <w:jc w:val="both"/>
            </w:pPr>
            <w:r>
              <w:rPr>
                <w:rFonts w:ascii="Times New Roman"/>
                <w:b w:val="false"/>
                <w:i w:val="false"/>
                <w:color w:val="000000"/>
                <w:sz w:val="20"/>
              </w:rPr>
              <w:t>
7) дата принятия разрешительным органом решения о прекращении действия разрешения первой категории;</w:t>
            </w:r>
          </w:p>
          <w:p>
            <w:pPr>
              <w:spacing w:after="20"/>
              <w:ind w:left="20"/>
              <w:jc w:val="both"/>
            </w:pPr>
            <w:r>
              <w:rPr>
                <w:rFonts w:ascii="Times New Roman"/>
                <w:b w:val="false"/>
                <w:i w:val="false"/>
                <w:color w:val="000000"/>
                <w:sz w:val="20"/>
              </w:rPr>
              <w:t>
8) основание прекращения действия разрешения первой категории;</w:t>
            </w:r>
          </w:p>
          <w:p>
            <w:pPr>
              <w:spacing w:after="20"/>
              <w:ind w:left="20"/>
              <w:jc w:val="both"/>
            </w:pPr>
            <w:r>
              <w:rPr>
                <w:rFonts w:ascii="Times New Roman"/>
                <w:b w:val="false"/>
                <w:i w:val="false"/>
                <w:color w:val="000000"/>
                <w:sz w:val="20"/>
              </w:rPr>
              <w:t>
9) наименование вида деятельности, разрешение, на осуществление которого было прекращено.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документов о получении (прекращении, приостановлении) разрешений первой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эмитентом негосударственных ценных бумаг основных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принятия решения об изменении основных видов деятельности;</w:t>
            </w:r>
          </w:p>
          <w:p>
            <w:pPr>
              <w:spacing w:after="20"/>
              <w:ind w:left="20"/>
              <w:jc w:val="both"/>
            </w:pPr>
            <w:r>
              <w:rPr>
                <w:rFonts w:ascii="Times New Roman"/>
                <w:b w:val="false"/>
                <w:i w:val="false"/>
                <w:color w:val="000000"/>
                <w:sz w:val="20"/>
              </w:rPr>
              <w:t>
2) наименование измененных видов деятельности;</w:t>
            </w:r>
          </w:p>
          <w:p>
            <w:pPr>
              <w:spacing w:after="20"/>
              <w:ind w:left="20"/>
              <w:jc w:val="both"/>
            </w:pPr>
            <w:r>
              <w:rPr>
                <w:rFonts w:ascii="Times New Roman"/>
                <w:b w:val="false"/>
                <w:i w:val="false"/>
                <w:color w:val="000000"/>
                <w:sz w:val="20"/>
              </w:rPr>
              <w:t>
3) дата государственной регистрации устава и (или) изменений в устав эмитента;</w:t>
            </w:r>
          </w:p>
          <w:p>
            <w:pPr>
              <w:spacing w:after="20"/>
              <w:ind w:left="20"/>
              <w:jc w:val="both"/>
            </w:pPr>
            <w:r>
              <w:rPr>
                <w:rFonts w:ascii="Times New Roman"/>
                <w:b w:val="false"/>
                <w:i w:val="false"/>
                <w:color w:val="000000"/>
                <w:sz w:val="20"/>
              </w:rPr>
              <w:t>
4) сканированная копия устава и (или) изменений в устав.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зарегистрированного в уполномоченном органе устава и (или) изменений в устав.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определения стоимости акций при их выкупе акционерным обществом на неорганизованном рынке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решения, принятого общим собранием учредителей (единственным учредителем)</w:t>
            </w:r>
          </w:p>
          <w:p>
            <w:pPr>
              <w:spacing w:after="20"/>
              <w:ind w:left="20"/>
              <w:jc w:val="both"/>
            </w:pPr>
            <w:r>
              <w:rPr>
                <w:rFonts w:ascii="Times New Roman"/>
                <w:b w:val="false"/>
                <w:i w:val="false"/>
                <w:color w:val="000000"/>
                <w:sz w:val="20"/>
              </w:rPr>
              <w:t>
2) дата решения, принятого</w:t>
            </w:r>
          </w:p>
          <w:p>
            <w:pPr>
              <w:spacing w:after="20"/>
              <w:ind w:left="20"/>
              <w:jc w:val="both"/>
            </w:pPr>
            <w:r>
              <w:rPr>
                <w:rFonts w:ascii="Times New Roman"/>
                <w:b w:val="false"/>
                <w:i w:val="false"/>
                <w:color w:val="000000"/>
                <w:sz w:val="20"/>
              </w:rPr>
              <w:t>
общим собранием акционеров (единственным акционером) акционерного общества об утверждении методики, если она не была утверждена учредительным собранием;</w:t>
            </w:r>
          </w:p>
          <w:p>
            <w:pPr>
              <w:spacing w:after="20"/>
              <w:ind w:left="20"/>
              <w:jc w:val="both"/>
            </w:pPr>
            <w:r>
              <w:rPr>
                <w:rFonts w:ascii="Times New Roman"/>
                <w:b w:val="false"/>
                <w:i w:val="false"/>
                <w:color w:val="000000"/>
                <w:sz w:val="20"/>
              </w:rPr>
              <w:t>
3) дата решения, принятого</w:t>
            </w:r>
          </w:p>
          <w:p>
            <w:pPr>
              <w:spacing w:after="20"/>
              <w:ind w:left="20"/>
              <w:jc w:val="both"/>
            </w:pPr>
            <w:r>
              <w:rPr>
                <w:rFonts w:ascii="Times New Roman"/>
                <w:b w:val="false"/>
                <w:i w:val="false"/>
                <w:color w:val="000000"/>
                <w:sz w:val="20"/>
              </w:rPr>
              <w:t>
общим собранием акционеров (единственным акционером) акционерного общества об утверждении изменений в методику;</w:t>
            </w:r>
          </w:p>
          <w:p>
            <w:pPr>
              <w:spacing w:after="20"/>
              <w:ind w:left="20"/>
              <w:jc w:val="both"/>
            </w:pPr>
            <w:r>
              <w:rPr>
                <w:rFonts w:ascii="Times New Roman"/>
                <w:b w:val="false"/>
                <w:i w:val="false"/>
                <w:color w:val="000000"/>
                <w:sz w:val="20"/>
              </w:rPr>
              <w:t xml:space="preserve">
 4) электронный вариант методики в формате PDF со всеми изменениями и дополнениями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получения документов, подтверждающих государственную регистрацию уполномоченным органом проспекта выпуска акций, в случае утверждения методики на учредительном собрании (единственным учредителем) акционерного общества или в течение 10 (десяти) рабочих дней после даты принятия решения общим собранием акционеров (единственным акционером) в случае утверждения методики и (или) изменений в методику на общем собрании акционеров общества (единственным акционером).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затрагивающие интересы акционеров (участников) эмитента и (или) инвесторов, в соответствии с уставом и проспектом выпуска эмиссионных ценных бумаг эмитента;</w:t>
            </w:r>
          </w:p>
          <w:p>
            <w:pPr>
              <w:spacing w:after="20"/>
              <w:ind w:left="20"/>
              <w:jc w:val="both"/>
            </w:pPr>
            <w:r>
              <w:rPr>
                <w:rFonts w:ascii="Times New Roman"/>
                <w:b w:val="false"/>
                <w:i w:val="false"/>
                <w:color w:val="000000"/>
                <w:sz w:val="20"/>
              </w:rPr>
              <w:t>
2) при несоблюдении эмитентом условий, предусмотренных проспектом выпуска негосударственных облигаций:</w:t>
            </w:r>
          </w:p>
          <w:p>
            <w:pPr>
              <w:spacing w:after="20"/>
              <w:ind w:left="20"/>
              <w:jc w:val="both"/>
            </w:pPr>
            <w:r>
              <w:rPr>
                <w:rFonts w:ascii="Times New Roman"/>
                <w:b w:val="false"/>
                <w:i w:val="false"/>
                <w:color w:val="000000"/>
                <w:sz w:val="20"/>
              </w:rPr>
              <w:t>
объем неисполненных обязательств, причина неисполнения обязательств, с указанием национального идентификационного номера (НИН) или международного идентификационного номера (ISIN) облигаций, вида облигаций, количества размещенных облигаций, размера купонной ставки, даты дефолта, суммы задолженности по купонному вознаграждению, суммы задолженности по основному долгу, остатка неурегулированного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возникновения иных событий,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 если законом Республики Казахстан "Об акционерных обществах" и Законом о рынке ценных бумаг не предусмотрены иные сроки доведения до сведения держателей ценных бумаг информации.</w:t>
            </w:r>
          </w:p>
          <w:p>
            <w:pPr>
              <w:spacing w:after="20"/>
              <w:ind w:left="20"/>
              <w:jc w:val="both"/>
            </w:pPr>
            <w:r>
              <w:rPr>
                <w:rFonts w:ascii="Times New Roman"/>
                <w:b w:val="false"/>
                <w:i w:val="false"/>
                <w:color w:val="000000"/>
                <w:sz w:val="20"/>
              </w:rPr>
              <w:t>
в течение 3 (трех) рабочих дней после даты несоблюдения эмитентом условий, предусмотренных проспектом выпуска негосударственных облигаций.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раскрытия эмитентом</w:t>
            </w:r>
            <w:r>
              <w:br/>
            </w:r>
            <w:r>
              <w:rPr>
                <w:rFonts w:ascii="Times New Roman"/>
                <w:b w:val="false"/>
                <w:i w:val="false"/>
                <w:color w:val="000000"/>
                <w:sz w:val="20"/>
              </w:rPr>
              <w:t>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56"/>
    <w:p>
      <w:pPr>
        <w:spacing w:after="0"/>
        <w:ind w:left="0"/>
        <w:jc w:val="left"/>
      </w:pPr>
      <w:r>
        <w:rPr>
          <w:rFonts w:ascii="Times New Roman"/>
          <w:b/>
          <w:i w:val="false"/>
          <w:color w:val="000000"/>
        </w:rPr>
        <w:t xml:space="preserve">             </w:t>
      </w:r>
      <w:r>
        <w:rPr>
          <w:rFonts w:ascii="Times New Roman"/>
          <w:b/>
          <w:i w:val="false"/>
          <w:color w:val="000000"/>
        </w:rPr>
        <w:t>Сведения об аффилированных лицах акционерного общества</w:t>
      </w:r>
      <w:r>
        <w:br/>
      </w:r>
      <w:r>
        <w:rPr>
          <w:rFonts w:ascii="Times New Roman"/>
          <w:b/>
          <w:i w:val="false"/>
          <w:color w:val="000000"/>
        </w:rPr>
        <w:t xml:space="preserve">                         (наименование акционерного общества)</w:t>
      </w:r>
    </w:p>
    <w:bookmarkEnd w:id="56"/>
    <w:p>
      <w:pPr>
        <w:spacing w:after="0"/>
        <w:ind w:left="0"/>
        <w:jc w:val="both"/>
      </w:pPr>
      <w:r>
        <w:rPr>
          <w:rFonts w:ascii="Times New Roman"/>
          <w:b w:val="false"/>
          <w:i w:val="false"/>
          <w:color w:val="ff0000"/>
          <w:sz w:val="28"/>
        </w:rPr>
        <w:t xml:space="preserve">
      Сноска. Сведения - в редакции постановления Правления Агентства РК по регулированию и развитию финансового рынка от 29.06.2020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международный идентификационный номер (код ISIN) выпуска объявленных акций в соответствии с данными государственного реестра эмиссионных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 которую представляются сведения об аффилированных лицах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индивидуальный идентификационный номер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аффилированности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юридического лица, бизнес-идентификационный номер (БИН), почтовый адрес и фактическое место нахождения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аффилированности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Наименование ______________________ Адрес________________________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w:t>
            </w:r>
            <w:r>
              <w:br/>
            </w:r>
            <w:r>
              <w:rPr>
                <w:rFonts w:ascii="Times New Roman"/>
                <w:b w:val="false"/>
                <w:i w:val="false"/>
                <w:color w:val="000000"/>
                <w:sz w:val="20"/>
              </w:rPr>
              <w:t>об аффилированных лицах</w:t>
            </w:r>
            <w:r>
              <w:br/>
            </w:r>
            <w:r>
              <w:rPr>
                <w:rFonts w:ascii="Times New Roman"/>
                <w:b w:val="false"/>
                <w:i w:val="false"/>
                <w:color w:val="000000"/>
                <w:sz w:val="20"/>
              </w:rPr>
              <w:t>акционерного общества</w:t>
            </w:r>
          </w:p>
        </w:tc>
      </w:tr>
    </w:tbl>
    <w:bookmarkStart w:name="z186" w:id="57"/>
    <w:p>
      <w:pPr>
        <w:spacing w:after="0"/>
        <w:ind w:left="0"/>
        <w:jc w:val="left"/>
      </w:pPr>
      <w:r>
        <w:rPr>
          <w:rFonts w:ascii="Times New Roman"/>
          <w:b/>
          <w:i w:val="false"/>
          <w:color w:val="000000"/>
        </w:rPr>
        <w:t xml:space="preserve"> Пояснение по заполнению формы "Сведения об аффилированных лицах акционерного общества"</w:t>
      </w:r>
    </w:p>
    <w:bookmarkEnd w:id="57"/>
    <w:bookmarkStart w:name="z187" w:id="58"/>
    <w:p>
      <w:pPr>
        <w:spacing w:after="0"/>
        <w:ind w:left="0"/>
        <w:jc w:val="left"/>
      </w:pPr>
      <w:r>
        <w:rPr>
          <w:rFonts w:ascii="Times New Roman"/>
          <w:b/>
          <w:i w:val="false"/>
          <w:color w:val="000000"/>
        </w:rPr>
        <w:t xml:space="preserve"> Глава 1. Общие положения</w:t>
      </w:r>
    </w:p>
    <w:bookmarkEnd w:id="58"/>
    <w:bookmarkStart w:name="z188" w:id="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аффилированных лицах акционерного общества" (далее - Форма).</w:t>
      </w:r>
    </w:p>
    <w:bookmarkEnd w:id="59"/>
    <w:bookmarkStart w:name="z189" w:id="60"/>
    <w:p>
      <w:pPr>
        <w:spacing w:after="0"/>
        <w:ind w:left="0"/>
        <w:jc w:val="both"/>
      </w:pPr>
      <w:r>
        <w:rPr>
          <w:rFonts w:ascii="Times New Roman"/>
          <w:b w:val="false"/>
          <w:i w:val="false"/>
          <w:color w:val="000000"/>
          <w:sz w:val="28"/>
        </w:rPr>
        <w:t xml:space="preserve">
      2. Формат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102 Закона Республики Казахстан "О рынке ценных бумаг".</w:t>
      </w:r>
    </w:p>
    <w:bookmarkEnd w:id="60"/>
    <w:bookmarkStart w:name="z190" w:id="61"/>
    <w:p>
      <w:pPr>
        <w:spacing w:after="0"/>
        <w:ind w:left="0"/>
        <w:jc w:val="both"/>
      </w:pPr>
      <w:r>
        <w:rPr>
          <w:rFonts w:ascii="Times New Roman"/>
          <w:b w:val="false"/>
          <w:i w:val="false"/>
          <w:color w:val="000000"/>
          <w:sz w:val="28"/>
        </w:rPr>
        <w:t>
      3. Форма составляется акционерным обществом ежеквартально и заполняется по состоянию на 1 января, 1 апреля, 1 июля и 1 октября отчетного года.</w:t>
      </w:r>
    </w:p>
    <w:bookmarkEnd w:id="61"/>
    <w:bookmarkStart w:name="z191" w:id="62"/>
    <w:p>
      <w:pPr>
        <w:spacing w:after="0"/>
        <w:ind w:left="0"/>
        <w:jc w:val="left"/>
      </w:pPr>
      <w:r>
        <w:rPr>
          <w:rFonts w:ascii="Times New Roman"/>
          <w:b/>
          <w:i w:val="false"/>
          <w:color w:val="000000"/>
        </w:rPr>
        <w:t xml:space="preserve"> Глава 2. Пояснение по заполнению Формы</w:t>
      </w:r>
    </w:p>
    <w:bookmarkEnd w:id="62"/>
    <w:bookmarkStart w:name="z192" w:id="63"/>
    <w:p>
      <w:pPr>
        <w:spacing w:after="0"/>
        <w:ind w:left="0"/>
        <w:jc w:val="both"/>
      </w:pPr>
      <w:r>
        <w:rPr>
          <w:rFonts w:ascii="Times New Roman"/>
          <w:b w:val="false"/>
          <w:i w:val="false"/>
          <w:color w:val="000000"/>
          <w:sz w:val="28"/>
        </w:rPr>
        <w:t>
      4. В графе 3 для указания сведений об аффилированных лицах акционерного общества, являющихся физическими лицами, дата рождения указывается в формате - дд.мм.гг (день/месяц/год) в одной графе с индивидуальным идентификационным номером (ИИН) без разделения на отдельные строки.</w:t>
      </w:r>
    </w:p>
    <w:bookmarkEnd w:id="63"/>
    <w:bookmarkStart w:name="z193" w:id="64"/>
    <w:p>
      <w:pPr>
        <w:spacing w:after="0"/>
        <w:ind w:left="0"/>
        <w:jc w:val="both"/>
      </w:pPr>
      <w:r>
        <w:rPr>
          <w:rFonts w:ascii="Times New Roman"/>
          <w:b w:val="false"/>
          <w:i w:val="false"/>
          <w:color w:val="000000"/>
          <w:sz w:val="28"/>
        </w:rPr>
        <w:t>
      5. В графе 3 для указания сведений об аффилированных лицах акционерного общества, являющихся юридическими лицами, дата и номер государственной регистрации юридического лица, бизнес-идентификационный номер (БИН), почтовый адрес и фактическое место нахождения юридического лица указываются в одной графе без разделения на отдельные строки.</w:t>
      </w:r>
    </w:p>
    <w:bookmarkEnd w:id="64"/>
    <w:bookmarkStart w:name="z194" w:id="65"/>
    <w:p>
      <w:pPr>
        <w:spacing w:after="0"/>
        <w:ind w:left="0"/>
        <w:jc w:val="both"/>
      </w:pPr>
      <w:r>
        <w:rPr>
          <w:rFonts w:ascii="Times New Roman"/>
          <w:b w:val="false"/>
          <w:i w:val="false"/>
          <w:color w:val="000000"/>
          <w:sz w:val="28"/>
        </w:rPr>
        <w:t xml:space="preserve">
      6. В графе 4 необходимо сделать ссылку на соответствующий подпункт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64 Закона Республики Казахстан от 13 мая 2003 года "Об акционерных обществах" или </w:t>
      </w:r>
      <w:r>
        <w:rPr>
          <w:rFonts w:ascii="Times New Roman"/>
          <w:b w:val="false"/>
          <w:i w:val="false"/>
          <w:color w:val="000000"/>
          <w:sz w:val="28"/>
        </w:rPr>
        <w:t>статью 2-1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 для банков второго уровня.</w:t>
      </w:r>
    </w:p>
    <w:bookmarkEnd w:id="65"/>
    <w:bookmarkStart w:name="z195" w:id="66"/>
    <w:p>
      <w:pPr>
        <w:spacing w:after="0"/>
        <w:ind w:left="0"/>
        <w:jc w:val="both"/>
      </w:pPr>
      <w:r>
        <w:rPr>
          <w:rFonts w:ascii="Times New Roman"/>
          <w:b w:val="false"/>
          <w:i w:val="false"/>
          <w:color w:val="000000"/>
          <w:sz w:val="28"/>
        </w:rPr>
        <w:t>
      7. В графе 5 дата появления аффилированности указывается в формате - дд.мм.гг (день/месяц/год).</w:t>
      </w:r>
    </w:p>
    <w:bookmarkEnd w:id="66"/>
    <w:bookmarkStart w:name="z196" w:id="67"/>
    <w:p>
      <w:pPr>
        <w:spacing w:after="0"/>
        <w:ind w:left="0"/>
        <w:jc w:val="both"/>
      </w:pPr>
      <w:r>
        <w:rPr>
          <w:rFonts w:ascii="Times New Roman"/>
          <w:b w:val="false"/>
          <w:i w:val="false"/>
          <w:color w:val="000000"/>
          <w:sz w:val="28"/>
        </w:rPr>
        <w:t>
      8. В графах 3 и 5 даты заполняются полностью цифрами и устанавливаются на основании информации, представленной акционерами и должностными лицами акционерного общества в порядке, установленной уставом акционерного общества.</w:t>
      </w:r>
    </w:p>
    <w:bookmarkEnd w:id="67"/>
    <w:bookmarkStart w:name="z197" w:id="68"/>
    <w:p>
      <w:pPr>
        <w:spacing w:after="0"/>
        <w:ind w:left="0"/>
        <w:jc w:val="both"/>
      </w:pPr>
      <w:r>
        <w:rPr>
          <w:rFonts w:ascii="Times New Roman"/>
          <w:b w:val="false"/>
          <w:i w:val="false"/>
          <w:color w:val="000000"/>
          <w:sz w:val="28"/>
        </w:rPr>
        <w:t>
      9. Индивидуальный идентификационный номер (ИИН) и Резидентство аффилированного лица акционерного общества, являющегося физическим лицом, не публикуется в открытом доступе на интернет-ресурсе депозитария финансовой отчетности.</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