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f86" w14:textId="ae8b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исчисления, условий действия плавающей ставки вознаграждения по договорам банковского вклада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194. Зарегистрировано в Министерстве юстиции Республики Казахстан 5 октября 2018 года № 17493. Утратило силу постановлением Правления Агентства Республики Казахстан по регулированию и развитию финансового рынка от 3 апреля 2026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условия действия плавающей ставки вознаграждения по договорам банковского вклада.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194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исчисления, условия действия плавающей ставки вознаграждения по договорам банковского вклада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исчисления, условия действия плавающей ставки вознаграждения по договорам банковского вклада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 и определяют порядок исчисления и условия действия плавающей ставки вознаграждения по договорам срочного или сберегательного вкладов, заключаемым с физическими и юридическими лицами (далее - договор), для банков второго уровня, филиалов банков-нерезидентов Республики Казахстан (далее – банк).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Плавающая ставка вознаграждения определяется как сумма базового показателя и ставки процентного спрэда.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базового показателя по договорам используется один из следующих показателей: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ставка, устанавливаемая Национальным Банком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инфляции, публикуемый уполномоченным органом в области государственной статистики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Tenge OverNight Index Average (TONIA)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Tenge Week Index Average (TWINA) – средневзвешенная процентная ставка по сделкам открытия репо сроком на 7 (семь) календарных дней в секторе автоматического репо с государственными ценными бумагами Республики Казахстан, заключенным на фондовой бирже.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Процентный спрэд выражается в номинальной величине, исчисляемой в процентных пунктах, и представляет собой фиксированное значение, устанавливаемое банком при заключении договора, которое не подлежит изменению, за исключением случаев увеличения размера процентного спрэда и (или) продления срока вклада.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значение плавающей ставки в период действия договора составляет отрицательное значение, то ее значение принимается равным нулю.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действия договора банк пересматривает плавающую ставку вознаграждения в соответствии с условиями договора с учетом базового показателя, используемого для расчета плавающей ставки вознаграждения.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