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0f47" w14:textId="0970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сентября 2018 года № 217. Зарегистрировано в Министерстве юстиции Республики Казахстан 25 сентября 2018 года № 17423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рынка ценных бумаг, в которые вносятся изменения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8"/>
    <w:bookmarkStart w:name="z13" w:id="9"/>
    <w:p>
      <w:pPr>
        <w:spacing w:after="0"/>
        <w:ind w:left="0"/>
        <w:jc w:val="both"/>
      </w:pPr>
      <w:r>
        <w:rPr>
          <w:rFonts w:ascii="Times New Roman"/>
          <w:b w:val="false"/>
          <w:i w:val="false"/>
          <w:color w:val="000000"/>
          <w:sz w:val="28"/>
        </w:rPr>
        <w:t xml:space="preserve">
      5. Настоящее постановление вводится в действие после дня его первого официального опубликования, за исключением </w:t>
      </w:r>
      <w:r>
        <w:rPr>
          <w:rFonts w:ascii="Times New Roman"/>
          <w:b w:val="false"/>
          <w:i w:val="false"/>
          <w:color w:val="000000"/>
          <w:sz w:val="28"/>
        </w:rPr>
        <w:t>Перечня</w:t>
      </w:r>
      <w:r>
        <w:rPr>
          <w:rFonts w:ascii="Times New Roman"/>
          <w:b w:val="false"/>
          <w:i w:val="false"/>
          <w:color w:val="000000"/>
          <w:sz w:val="28"/>
        </w:rPr>
        <w:t>, который вводится в действие с 1 января 2019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2018 года № 217</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рынка ценных бумаг,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декабря 2003 года № 409 "Об утверждении Правил осуществления деятельности платежного агента на рынке ценных бумаг в Республике Казахстан" (зарегистрировано в Реестре государственной регистрации нормативных правовых актов под № 2632, опубликовано 23 января 2004 года в газете "Казахстанская правда" № 13 (24323) следующие изменения:</w:t>
      </w:r>
    </w:p>
    <w:bookmarkEnd w:id="11"/>
    <w:bookmarkStart w:name="z18" w:id="12"/>
    <w:p>
      <w:pPr>
        <w:spacing w:after="0"/>
        <w:ind w:left="0"/>
        <w:jc w:val="both"/>
      </w:pPr>
      <w:r>
        <w:rPr>
          <w:rFonts w:ascii="Times New Roman"/>
          <w:b w:val="false"/>
          <w:i w:val="false"/>
          <w:color w:val="000000"/>
          <w:sz w:val="28"/>
        </w:rPr>
        <w:t>
      заголовок изложить в следующей редакции:</w:t>
      </w:r>
    </w:p>
    <w:bookmarkEnd w:id="12"/>
    <w:bookmarkStart w:name="z19" w:id="13"/>
    <w:p>
      <w:pPr>
        <w:spacing w:after="0"/>
        <w:ind w:left="0"/>
        <w:jc w:val="both"/>
      </w:pPr>
      <w:r>
        <w:rPr>
          <w:rFonts w:ascii="Times New Roman"/>
          <w:b w:val="false"/>
          <w:i w:val="false"/>
          <w:color w:val="000000"/>
          <w:sz w:val="28"/>
        </w:rPr>
        <w:t>
      "Об утверждении Правил осуществления деятельности платежного агента";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 Утвердить прилагаемые Правила осуществления деятельности платежного агента.";</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платежного агента на рынке ценных бумаг в Республике Казахстан, утвержденных указанным постановлением:</w:t>
      </w:r>
    </w:p>
    <w:bookmarkEnd w:id="15"/>
    <w:bookmarkStart w:name="z23" w:id="16"/>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2003 года № 409";</w:t>
            </w:r>
          </w:p>
        </w:tc>
      </w:tr>
    </w:tbl>
    <w:bookmarkStart w:name="z25" w:id="17"/>
    <w:p>
      <w:pPr>
        <w:spacing w:after="0"/>
        <w:ind w:left="0"/>
        <w:jc w:val="both"/>
      </w:pPr>
      <w:r>
        <w:rPr>
          <w:rFonts w:ascii="Times New Roman"/>
          <w:b w:val="false"/>
          <w:i w:val="false"/>
          <w:color w:val="000000"/>
          <w:sz w:val="28"/>
        </w:rPr>
        <w:t>
      заголовок изложить в следующей редакции:</w:t>
      </w:r>
    </w:p>
    <w:bookmarkEnd w:id="17"/>
    <w:bookmarkStart w:name="z26" w:id="18"/>
    <w:p>
      <w:pPr>
        <w:spacing w:after="0"/>
        <w:ind w:left="0"/>
        <w:jc w:val="both"/>
      </w:pPr>
      <w:r>
        <w:rPr>
          <w:rFonts w:ascii="Times New Roman"/>
          <w:b w:val="false"/>
          <w:i w:val="false"/>
          <w:color w:val="000000"/>
          <w:sz w:val="28"/>
        </w:rPr>
        <w:t>
      "Правила осуществления деятельности платежного агента";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 Настоящие Правила осуществления деятельности платежного агента определяют условия и порядок осуществления деятельности платежного агента на рынке ценных бумаг в Республике Казахстан.";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"3. Сведения о платежном агенте содержатся в проспекте выпуска эмиссионных ценных бумаг.";</w:t>
      </w:r>
    </w:p>
    <w:bookmarkEnd w:id="20"/>
    <w:bookmarkStart w:name="z31" w:id="2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1"/>
    <w:bookmarkStart w:name="z32" w:id="22"/>
    <w:p>
      <w:pPr>
        <w:spacing w:after="0"/>
        <w:ind w:left="0"/>
        <w:jc w:val="both"/>
      </w:pPr>
      <w:r>
        <w:rPr>
          <w:rFonts w:ascii="Times New Roman"/>
          <w:b w:val="false"/>
          <w:i w:val="false"/>
          <w:color w:val="000000"/>
          <w:sz w:val="28"/>
        </w:rPr>
        <w:t>
      "4) международный идентификационный номер (код ISIN);";</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xml:space="preserve">
      "7. Платежный агент в случае полной выплаты дохода по эмиссионным ценным бумагам и номинальной стоимости облигаций при их погашении в течение одного месяца после окончания срока погашения, установленного проспектом выпуска облигаций, направляет в Национальный Банк Республики Казахстан уведомление об итогах погашения негосударственных облигаций в порядке, установленном нормативным правовым актом Национального Банка Республики Казахстан в соответствии с пунктом 5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от 2 июля 2003 года "О рынке ценных бумаг".";</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36" w:id="2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59 "Об утверждении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 (зарегистрировано в Реестре государственной регистрации нормативных правовых актов под № 7554, опубликовано 23 июня 2012 года в газете "Казахстанская правда" № 199-200 (27018-27019) следующие изменения:</w:t>
      </w:r>
    </w:p>
    <w:bookmarkEnd w:id="24"/>
    <w:bookmarkStart w:name="z37" w:id="25"/>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5"/>
    <w:bookmarkStart w:name="z38"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6"/>
    <w:bookmarkStart w:name="z39"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клиринговой организации, условиям и порядку мониторинга, контроля и управления рисками в клиринговой организации, утвержденных указанным постановлением:</w:t>
      </w:r>
    </w:p>
    <w:bookmarkEnd w:id="27"/>
    <w:bookmarkStart w:name="z40" w:id="28"/>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8"/>
    <w:bookmarkStart w:name="z41"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преамбулу</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43" w:id="30"/>
    <w:p>
      <w:pPr>
        <w:spacing w:after="0"/>
        <w:ind w:left="0"/>
        <w:jc w:val="both"/>
      </w:pPr>
      <w:r>
        <w:rPr>
          <w:rFonts w:ascii="Times New Roman"/>
          <w:b w:val="false"/>
          <w:i w:val="false"/>
          <w:color w:val="000000"/>
          <w:sz w:val="28"/>
        </w:rPr>
        <w:t>
      "2) клиринг - процесс определения, проверки и передачи информации о требованиях и (или) обязательствах клиринговых участников в результате совершения ими сделок с финансовыми инструментами;";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bookmarkStart w:name="z45" w:id="31"/>
    <w:p>
      <w:pPr>
        <w:spacing w:after="0"/>
        <w:ind w:left="0"/>
        <w:jc w:val="both"/>
      </w:pPr>
      <w:r>
        <w:rPr>
          <w:rFonts w:ascii="Times New Roman"/>
          <w:b w:val="false"/>
          <w:i w:val="false"/>
          <w:color w:val="000000"/>
          <w:sz w:val="28"/>
        </w:rPr>
        <w:t>
      "4) требования к организации деятельности по осуществлению сделок с финансовыми инструментами;";</w:t>
      </w:r>
    </w:p>
    <w:bookmarkEnd w:id="31"/>
    <w:bookmarkStart w:name="z46"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48" w:id="33"/>
    <w:p>
      <w:pPr>
        <w:spacing w:after="0"/>
        <w:ind w:left="0"/>
        <w:jc w:val="both"/>
      </w:pPr>
      <w:r>
        <w:rPr>
          <w:rFonts w:ascii="Times New Roman"/>
          <w:b w:val="false"/>
          <w:i w:val="false"/>
          <w:color w:val="000000"/>
          <w:sz w:val="28"/>
        </w:rPr>
        <w:t>
      "2) сбор, ввод, хранение и распространение информации, предоставляемой клиринговыми участниками, фондовой (товарной) биржей, центральным депозитарием и (или) расчетной организацией;";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 </w:t>
      </w:r>
    </w:p>
    <w:bookmarkStart w:name="z50" w:id="34"/>
    <w:p>
      <w:pPr>
        <w:spacing w:after="0"/>
        <w:ind w:left="0"/>
        <w:jc w:val="both"/>
      </w:pPr>
      <w:r>
        <w:rPr>
          <w:rFonts w:ascii="Times New Roman"/>
          <w:b w:val="false"/>
          <w:i w:val="false"/>
          <w:color w:val="000000"/>
          <w:sz w:val="28"/>
        </w:rPr>
        <w:t>
      "7) инвестирование активов клиринговой организации в финансовые инструменты;";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52" w:id="35"/>
    <w:p>
      <w:pPr>
        <w:spacing w:after="0"/>
        <w:ind w:left="0"/>
        <w:jc w:val="both"/>
      </w:pPr>
      <w:r>
        <w:rPr>
          <w:rFonts w:ascii="Times New Roman"/>
          <w:b w:val="false"/>
          <w:i w:val="false"/>
          <w:color w:val="000000"/>
          <w:sz w:val="28"/>
        </w:rPr>
        <w:t>
      "12) мониторинг финансового состояния клиринговых участников, а также на предмет их соответствия требованиям внутренних документов клиринговой организации;</w:t>
      </w:r>
    </w:p>
    <w:bookmarkEnd w:id="35"/>
    <w:bookmarkStart w:name="z53" w:id="36"/>
    <w:p>
      <w:pPr>
        <w:spacing w:after="0"/>
        <w:ind w:left="0"/>
        <w:jc w:val="both"/>
      </w:pPr>
      <w:r>
        <w:rPr>
          <w:rFonts w:ascii="Times New Roman"/>
          <w:b w:val="false"/>
          <w:i w:val="false"/>
          <w:color w:val="000000"/>
          <w:sz w:val="28"/>
        </w:rPr>
        <w:t>
      13) определение порядка организации работы с клиринговыми участниками, в том числе определение процедур по рассмотрению и разрешению споров, а также применению соответствующих мер в случае невыполнения клиринговыми участниками своих обязательств;</w:t>
      </w:r>
    </w:p>
    <w:bookmarkEnd w:id="36"/>
    <w:bookmarkStart w:name="z54" w:id="37"/>
    <w:p>
      <w:pPr>
        <w:spacing w:after="0"/>
        <w:ind w:left="0"/>
        <w:jc w:val="both"/>
      </w:pPr>
      <w:r>
        <w:rPr>
          <w:rFonts w:ascii="Times New Roman"/>
          <w:b w:val="false"/>
          <w:i w:val="false"/>
          <w:color w:val="000000"/>
          <w:sz w:val="28"/>
        </w:rPr>
        <w:t>
      14) формирование и использование резервных или гарантийных клиринговых фондов.";</w:t>
      </w:r>
    </w:p>
    <w:bookmarkEnd w:id="37"/>
    <w:bookmarkStart w:name="z55"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57" w:id="39"/>
    <w:p>
      <w:pPr>
        <w:spacing w:after="0"/>
        <w:ind w:left="0"/>
        <w:jc w:val="both"/>
      </w:pPr>
      <w:r>
        <w:rPr>
          <w:rFonts w:ascii="Times New Roman"/>
          <w:b w:val="false"/>
          <w:i w:val="false"/>
          <w:color w:val="000000"/>
          <w:sz w:val="28"/>
        </w:rPr>
        <w:t>
      "2) порядок инвестирования активов клиринговой организации;";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59" w:id="40"/>
    <w:p>
      <w:pPr>
        <w:spacing w:after="0"/>
        <w:ind w:left="0"/>
        <w:jc w:val="both"/>
      </w:pPr>
      <w:r>
        <w:rPr>
          <w:rFonts w:ascii="Times New Roman"/>
          <w:b w:val="false"/>
          <w:i w:val="false"/>
          <w:color w:val="000000"/>
          <w:sz w:val="28"/>
        </w:rPr>
        <w:t>
      "7) порядок и условия мониторинга и контроля клиринговых участников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внутренних документов клиринговой организации и требованиям к финансовому состоянию клиринговых участников;</w:t>
      </w:r>
    </w:p>
    <w:bookmarkEnd w:id="40"/>
    <w:bookmarkStart w:name="z60" w:id="41"/>
    <w:p>
      <w:pPr>
        <w:spacing w:after="0"/>
        <w:ind w:left="0"/>
        <w:jc w:val="both"/>
      </w:pPr>
      <w:r>
        <w:rPr>
          <w:rFonts w:ascii="Times New Roman"/>
          <w:b w:val="false"/>
          <w:i w:val="false"/>
          <w:color w:val="000000"/>
          <w:sz w:val="28"/>
        </w:rPr>
        <w:t>
      8) порядок и условия формирования, а также использования резервных или гарантийных клиринговых фондов;</w:t>
      </w:r>
    </w:p>
    <w:bookmarkEnd w:id="41"/>
    <w:bookmarkStart w:name="z61" w:id="42"/>
    <w:p>
      <w:pPr>
        <w:spacing w:after="0"/>
        <w:ind w:left="0"/>
        <w:jc w:val="both"/>
      </w:pPr>
      <w:r>
        <w:rPr>
          <w:rFonts w:ascii="Times New Roman"/>
          <w:b w:val="false"/>
          <w:i w:val="false"/>
          <w:color w:val="000000"/>
          <w:sz w:val="28"/>
        </w:rPr>
        <w:t>
      9) требования к клиринговым участникам;";</w:t>
      </w:r>
    </w:p>
    <w:bookmarkEnd w:id="42"/>
    <w:bookmarkStart w:name="z62"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4" w:id="44"/>
    <w:p>
      <w:pPr>
        <w:spacing w:after="0"/>
        <w:ind w:left="0"/>
        <w:jc w:val="both"/>
      </w:pPr>
      <w:r>
        <w:rPr>
          <w:rFonts w:ascii="Times New Roman"/>
          <w:b w:val="false"/>
          <w:i w:val="false"/>
          <w:color w:val="000000"/>
          <w:sz w:val="28"/>
        </w:rPr>
        <w:t>
      "1) полномочия и функциональные обязанности совета директоров, правления, ответственного подразделения клиринговой организации по управлению рисками и подразделения клиринговой организации по мониторингу и контролю клиринговых участников, а также порядок обмена информацией между данными органами и подразделениями;";</w:t>
      </w:r>
    </w:p>
    <w:bookmarkEnd w:id="44"/>
    <w:bookmarkStart w:name="z65" w:id="45"/>
    <w:p>
      <w:pPr>
        <w:spacing w:after="0"/>
        <w:ind w:left="0"/>
        <w:jc w:val="both"/>
      </w:pPr>
      <w:r>
        <w:rPr>
          <w:rFonts w:ascii="Times New Roman"/>
          <w:b w:val="false"/>
          <w:i w:val="false"/>
          <w:color w:val="000000"/>
          <w:sz w:val="28"/>
        </w:rPr>
        <w:t xml:space="preserve">
      абзацы пятый и шестой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45"/>
    <w:bookmarkStart w:name="z66" w:id="46"/>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ответственность клиринговой организации по сделкам, заключенным клиринговыми участниками в торговой системе фондовой (товарной) биржи;</w:t>
      </w:r>
    </w:p>
    <w:bookmarkEnd w:id="46"/>
    <w:bookmarkStart w:name="z67" w:id="47"/>
    <w:p>
      <w:pPr>
        <w:spacing w:after="0"/>
        <w:ind w:left="0"/>
        <w:jc w:val="both"/>
      </w:pPr>
      <w:r>
        <w:rPr>
          <w:rFonts w:ascii="Times New Roman"/>
          <w:b w:val="false"/>
          <w:i w:val="false"/>
          <w:color w:val="000000"/>
          <w:sz w:val="28"/>
        </w:rPr>
        <w:t>
       мониторинг рисков, проводимый ответственным подразделением клиринговой организации по мониторингу и контролю клиринговых участников, включающий мониторинг изменения значений показателей рисков клиринговых участников и максимально допустимых значений данных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69" w:id="48"/>
    <w:p>
      <w:pPr>
        <w:spacing w:after="0"/>
        <w:ind w:left="0"/>
        <w:jc w:val="both"/>
      </w:pPr>
      <w:r>
        <w:rPr>
          <w:rFonts w:ascii="Times New Roman"/>
          <w:b w:val="false"/>
          <w:i w:val="false"/>
          <w:color w:val="000000"/>
          <w:sz w:val="28"/>
        </w:rPr>
        <w:t>
      "12. Порядок инвестирования активов клиринговой организации устанавливает условия и порядок осуществления сделок с финансовыми инструментами, типовые формы документов, используемых в процессе осуществления сделок с финансовыми инструментами и включает описание процедур по:</w:t>
      </w:r>
    </w:p>
    <w:bookmarkEnd w:id="48"/>
    <w:bookmarkStart w:name="z70" w:id="49"/>
    <w:p>
      <w:pPr>
        <w:spacing w:after="0"/>
        <w:ind w:left="0"/>
        <w:jc w:val="both"/>
      </w:pPr>
      <w:r>
        <w:rPr>
          <w:rFonts w:ascii="Times New Roman"/>
          <w:b w:val="false"/>
          <w:i w:val="false"/>
          <w:color w:val="000000"/>
          <w:sz w:val="28"/>
        </w:rPr>
        <w:t>
      1) разработке политики инвестирования активов клиринговой организации;</w:t>
      </w:r>
    </w:p>
    <w:bookmarkEnd w:id="49"/>
    <w:bookmarkStart w:name="z71" w:id="50"/>
    <w:p>
      <w:pPr>
        <w:spacing w:after="0"/>
        <w:ind w:left="0"/>
        <w:jc w:val="both"/>
      </w:pPr>
      <w:r>
        <w:rPr>
          <w:rFonts w:ascii="Times New Roman"/>
          <w:b w:val="false"/>
          <w:i w:val="false"/>
          <w:color w:val="000000"/>
          <w:sz w:val="28"/>
        </w:rPr>
        <w:t>
      2) подготовке рекомендаций для принятия инвестиционных решений, предусматривающих:</w:t>
      </w:r>
    </w:p>
    <w:bookmarkEnd w:id="50"/>
    <w:bookmarkStart w:name="z72" w:id="51"/>
    <w:p>
      <w:pPr>
        <w:spacing w:after="0"/>
        <w:ind w:left="0"/>
        <w:jc w:val="both"/>
      </w:pPr>
      <w:r>
        <w:rPr>
          <w:rFonts w:ascii="Times New Roman"/>
          <w:b w:val="false"/>
          <w:i w:val="false"/>
          <w:color w:val="000000"/>
          <w:sz w:val="28"/>
        </w:rPr>
        <w:t>
      перечень должностей лиц, уполномоченных на выдачу рекомендаций;</w:t>
      </w:r>
    </w:p>
    <w:bookmarkEnd w:id="51"/>
    <w:bookmarkStart w:name="z73" w:id="52"/>
    <w:p>
      <w:pPr>
        <w:spacing w:after="0"/>
        <w:ind w:left="0"/>
        <w:jc w:val="both"/>
      </w:pPr>
      <w:r>
        <w:rPr>
          <w:rFonts w:ascii="Times New Roman"/>
          <w:b w:val="false"/>
          <w:i w:val="false"/>
          <w:color w:val="000000"/>
          <w:sz w:val="28"/>
        </w:rPr>
        <w:t>
      порядок осуществления анализа состояния инвестиционного портфеля;</w:t>
      </w:r>
    </w:p>
    <w:bookmarkEnd w:id="52"/>
    <w:bookmarkStart w:name="z74" w:id="53"/>
    <w:p>
      <w:pPr>
        <w:spacing w:after="0"/>
        <w:ind w:left="0"/>
        <w:jc w:val="both"/>
      </w:pP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p>
    <w:bookmarkEnd w:id="53"/>
    <w:bookmarkStart w:name="z75" w:id="54"/>
    <w:p>
      <w:pPr>
        <w:spacing w:after="0"/>
        <w:ind w:left="0"/>
        <w:jc w:val="both"/>
      </w:pP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p>
    <w:bookmarkEnd w:id="54"/>
    <w:bookmarkStart w:name="z76" w:id="55"/>
    <w:p>
      <w:pPr>
        <w:spacing w:after="0"/>
        <w:ind w:left="0"/>
        <w:jc w:val="both"/>
      </w:pPr>
      <w:r>
        <w:rPr>
          <w:rFonts w:ascii="Times New Roman"/>
          <w:b w:val="false"/>
          <w:i w:val="false"/>
          <w:color w:val="000000"/>
          <w:sz w:val="28"/>
        </w:rPr>
        <w:t>
      порядок осуществления анализа факторов, существенных для выдачи рекомендаций;</w:t>
      </w:r>
    </w:p>
    <w:bookmarkEnd w:id="55"/>
    <w:bookmarkStart w:name="z77" w:id="56"/>
    <w:p>
      <w:pPr>
        <w:spacing w:after="0"/>
        <w:ind w:left="0"/>
        <w:jc w:val="both"/>
      </w:pPr>
      <w:r>
        <w:rPr>
          <w:rFonts w:ascii="Times New Roman"/>
          <w:b w:val="false"/>
          <w:i w:val="false"/>
          <w:color w:val="000000"/>
          <w:sz w:val="28"/>
        </w:rPr>
        <w:t>
      3) принятию инвестиционных решений, содержащих описание работы инвестиционного комитета, периодичность проведения и оформления результатов заседаний;</w:t>
      </w:r>
    </w:p>
    <w:bookmarkEnd w:id="56"/>
    <w:bookmarkStart w:name="z78" w:id="57"/>
    <w:p>
      <w:pPr>
        <w:spacing w:after="0"/>
        <w:ind w:left="0"/>
        <w:jc w:val="both"/>
      </w:pPr>
      <w:r>
        <w:rPr>
          <w:rFonts w:ascii="Times New Roman"/>
          <w:b w:val="false"/>
          <w:i w:val="false"/>
          <w:color w:val="000000"/>
          <w:sz w:val="28"/>
        </w:rPr>
        <w:t>
      4) взаимодействию органов и подразделений клиринговых организаций в процессе подготовки, принятия и исполнения инвестиционных решений;</w:t>
      </w:r>
    </w:p>
    <w:bookmarkEnd w:id="57"/>
    <w:bookmarkStart w:name="z79" w:id="58"/>
    <w:p>
      <w:pPr>
        <w:spacing w:after="0"/>
        <w:ind w:left="0"/>
        <w:jc w:val="both"/>
      </w:pPr>
      <w:r>
        <w:rPr>
          <w:rFonts w:ascii="Times New Roman"/>
          <w:b w:val="false"/>
          <w:i w:val="false"/>
          <w:color w:val="000000"/>
          <w:sz w:val="28"/>
        </w:rPr>
        <w:t>
      5) заключению сделок с финансовыми инструментами и осуществлению контроля за их исполнением, содержащих описание процессов по взаимодействию с посредником (брокером), с помощью которого предполагается заключение сделки (при наличии такового), контролю за совершением сделок, осуществлению сверок состава и движения активов, ведению внутреннего учета и документооборота заключенных сделок, а также перечень руководящих работников, осуществляющих контроль за заключением сделок с финансовыми инструментами;</w:t>
      </w:r>
    </w:p>
    <w:bookmarkEnd w:id="58"/>
    <w:bookmarkStart w:name="z80" w:id="59"/>
    <w:p>
      <w:pPr>
        <w:spacing w:after="0"/>
        <w:ind w:left="0"/>
        <w:jc w:val="both"/>
      </w:pPr>
      <w:r>
        <w:rPr>
          <w:rFonts w:ascii="Times New Roman"/>
          <w:b w:val="false"/>
          <w:i w:val="false"/>
          <w:color w:val="000000"/>
          <w:sz w:val="28"/>
        </w:rPr>
        <w:t>
      6) подготовке правлением клиринговой организации отчетности о результатах деятельности по операциям с финансовыми инструментами.</w:t>
      </w:r>
    </w:p>
    <w:bookmarkEnd w:id="59"/>
    <w:bookmarkStart w:name="z81" w:id="60"/>
    <w:p>
      <w:pPr>
        <w:spacing w:after="0"/>
        <w:ind w:left="0"/>
        <w:jc w:val="both"/>
      </w:pPr>
      <w:r>
        <w:rPr>
          <w:rFonts w:ascii="Times New Roman"/>
          <w:b w:val="false"/>
          <w:i w:val="false"/>
          <w:color w:val="000000"/>
          <w:sz w:val="28"/>
        </w:rPr>
        <w:t>
      13. В целях обеспечения заключения сделок с финансовыми инструментами клиринговой организацией разрабатывается политика инвестирования активов, включающая, но не ограничивающаяся следующим:</w:t>
      </w:r>
    </w:p>
    <w:bookmarkEnd w:id="60"/>
    <w:bookmarkStart w:name="z82" w:id="61"/>
    <w:p>
      <w:pPr>
        <w:spacing w:after="0"/>
        <w:ind w:left="0"/>
        <w:jc w:val="both"/>
      </w:pPr>
      <w:r>
        <w:rPr>
          <w:rFonts w:ascii="Times New Roman"/>
          <w:b w:val="false"/>
          <w:i w:val="false"/>
          <w:color w:val="000000"/>
          <w:sz w:val="28"/>
        </w:rPr>
        <w:t>
      1) цели и стратегия инвестирования активов;</w:t>
      </w:r>
    </w:p>
    <w:bookmarkEnd w:id="61"/>
    <w:bookmarkStart w:name="z83" w:id="62"/>
    <w:p>
      <w:pPr>
        <w:spacing w:after="0"/>
        <w:ind w:left="0"/>
        <w:jc w:val="both"/>
      </w:pPr>
      <w:r>
        <w:rPr>
          <w:rFonts w:ascii="Times New Roman"/>
          <w:b w:val="false"/>
          <w:i w:val="false"/>
          <w:color w:val="000000"/>
          <w:sz w:val="28"/>
        </w:rPr>
        <w:t>
      2) описание и перечень объектов инвестирования;</w:t>
      </w:r>
    </w:p>
    <w:bookmarkEnd w:id="62"/>
    <w:bookmarkStart w:name="z84" w:id="63"/>
    <w:p>
      <w:pPr>
        <w:spacing w:after="0"/>
        <w:ind w:left="0"/>
        <w:jc w:val="both"/>
      </w:pPr>
      <w:r>
        <w:rPr>
          <w:rFonts w:ascii="Times New Roman"/>
          <w:b w:val="false"/>
          <w:i w:val="false"/>
          <w:color w:val="000000"/>
          <w:sz w:val="28"/>
        </w:rPr>
        <w:t>
      3) лимиты инвестирования активов по видам финансовых инструментов;</w:t>
      </w:r>
    </w:p>
    <w:bookmarkEnd w:id="63"/>
    <w:bookmarkStart w:name="z85" w:id="64"/>
    <w:p>
      <w:pPr>
        <w:spacing w:after="0"/>
        <w:ind w:left="0"/>
        <w:jc w:val="both"/>
      </w:pPr>
      <w:r>
        <w:rPr>
          <w:rFonts w:ascii="Times New Roman"/>
          <w:b w:val="false"/>
          <w:i w:val="false"/>
          <w:color w:val="000000"/>
          <w:sz w:val="28"/>
        </w:rPr>
        <w:t>
      4) условия и ограничения, установленные в отношении сделок с финансовыми инструментами;</w:t>
      </w:r>
    </w:p>
    <w:bookmarkEnd w:id="64"/>
    <w:bookmarkStart w:name="z86" w:id="65"/>
    <w:p>
      <w:pPr>
        <w:spacing w:after="0"/>
        <w:ind w:left="0"/>
        <w:jc w:val="both"/>
      </w:pPr>
      <w:r>
        <w:rPr>
          <w:rFonts w:ascii="Times New Roman"/>
          <w:b w:val="false"/>
          <w:i w:val="false"/>
          <w:color w:val="000000"/>
          <w:sz w:val="28"/>
        </w:rPr>
        <w:t>
      5) условия хеджирования и диверсификации активов с указанием перечня и описания инструментов хеджирования;</w:t>
      </w:r>
    </w:p>
    <w:bookmarkEnd w:id="65"/>
    <w:bookmarkStart w:name="z87" w:id="66"/>
    <w:p>
      <w:pPr>
        <w:spacing w:after="0"/>
        <w:ind w:left="0"/>
        <w:jc w:val="both"/>
      </w:pPr>
      <w:r>
        <w:rPr>
          <w:rFonts w:ascii="Times New Roman"/>
          <w:b w:val="false"/>
          <w:i w:val="false"/>
          <w:color w:val="000000"/>
          <w:sz w:val="28"/>
        </w:rPr>
        <w:t>
      6) информация об основных рисках, связанных с инвестированием активов.</w:t>
      </w:r>
    </w:p>
    <w:bookmarkEnd w:id="66"/>
    <w:bookmarkStart w:name="z88" w:id="67"/>
    <w:p>
      <w:pPr>
        <w:spacing w:after="0"/>
        <w:ind w:left="0"/>
        <w:jc w:val="both"/>
      </w:pPr>
      <w:r>
        <w:rPr>
          <w:rFonts w:ascii="Times New Roman"/>
          <w:b w:val="false"/>
          <w:i w:val="false"/>
          <w:color w:val="000000"/>
          <w:sz w:val="28"/>
        </w:rPr>
        <w:t>
      14. Политика инвестирования активов клиринговой организации и все изменения и дополнения в нее утверждаются советом директоров клиринговой организации.";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18 изложить в следующей редакции:</w:t>
      </w:r>
    </w:p>
    <w:bookmarkStart w:name="z90" w:id="68"/>
    <w:p>
      <w:pPr>
        <w:spacing w:after="0"/>
        <w:ind w:left="0"/>
        <w:jc w:val="both"/>
      </w:pPr>
      <w:r>
        <w:rPr>
          <w:rFonts w:ascii="Times New Roman"/>
          <w:b w:val="false"/>
          <w:i w:val="false"/>
          <w:color w:val="000000"/>
          <w:sz w:val="28"/>
        </w:rPr>
        <w:t>
      "4) порядок разрешения вопросов между клиринговыми участниками и клиринговой организацией в процессе осуществления клиринга по заключаемым в торговой системе фондовой (товарной) биржи сделкам;</w:t>
      </w:r>
    </w:p>
    <w:bookmarkEnd w:id="68"/>
    <w:bookmarkStart w:name="z91" w:id="69"/>
    <w:p>
      <w:pPr>
        <w:spacing w:after="0"/>
        <w:ind w:left="0"/>
        <w:jc w:val="both"/>
      </w:pPr>
      <w:r>
        <w:rPr>
          <w:rFonts w:ascii="Times New Roman"/>
          <w:b w:val="false"/>
          <w:i w:val="false"/>
          <w:color w:val="000000"/>
          <w:sz w:val="28"/>
        </w:rPr>
        <w:t>
      5) порядок и условия обмена информацией между клиринговой организацией и клиринговыми участниками, фондовой (товарной) биржей, центральными депозитарием и (или) иной расчетной организацией.";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93" w:id="70"/>
    <w:p>
      <w:pPr>
        <w:spacing w:after="0"/>
        <w:ind w:left="0"/>
        <w:jc w:val="both"/>
      </w:pPr>
      <w:r>
        <w:rPr>
          <w:rFonts w:ascii="Times New Roman"/>
          <w:b w:val="false"/>
          <w:i w:val="false"/>
          <w:color w:val="000000"/>
          <w:sz w:val="28"/>
        </w:rPr>
        <w:t>
      "19. Порядок и условия мониторинга и контроля клиринговых участников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клиринговой организации включают:</w:t>
      </w:r>
    </w:p>
    <w:bookmarkEnd w:id="70"/>
    <w:bookmarkStart w:name="z94" w:id="71"/>
    <w:p>
      <w:pPr>
        <w:spacing w:after="0"/>
        <w:ind w:left="0"/>
        <w:jc w:val="both"/>
      </w:pPr>
      <w:r>
        <w:rPr>
          <w:rFonts w:ascii="Times New Roman"/>
          <w:b w:val="false"/>
          <w:i w:val="false"/>
          <w:color w:val="000000"/>
          <w:sz w:val="28"/>
        </w:rPr>
        <w:t>
      1) перечень отчетов клиринговых участников и иной информации, необходимых для мониторинга их финансового состояния;</w:t>
      </w:r>
    </w:p>
    <w:bookmarkEnd w:id="71"/>
    <w:bookmarkStart w:name="z95" w:id="72"/>
    <w:p>
      <w:pPr>
        <w:spacing w:after="0"/>
        <w:ind w:left="0"/>
        <w:jc w:val="both"/>
      </w:pPr>
      <w:r>
        <w:rPr>
          <w:rFonts w:ascii="Times New Roman"/>
          <w:b w:val="false"/>
          <w:i w:val="false"/>
          <w:color w:val="000000"/>
          <w:sz w:val="28"/>
        </w:rPr>
        <w:t>
      2) условия и сроки предоставления отчетов и иной информации, указанных в подпункте 1) настоящего пункта;</w:t>
      </w:r>
    </w:p>
    <w:bookmarkEnd w:id="72"/>
    <w:bookmarkStart w:name="z96" w:id="73"/>
    <w:p>
      <w:pPr>
        <w:spacing w:after="0"/>
        <w:ind w:left="0"/>
        <w:jc w:val="both"/>
      </w:pPr>
      <w:r>
        <w:rPr>
          <w:rFonts w:ascii="Times New Roman"/>
          <w:b w:val="false"/>
          <w:i w:val="false"/>
          <w:color w:val="000000"/>
          <w:sz w:val="28"/>
        </w:rPr>
        <w:t>
      3) порядок и сроки рассмотрения клиринговой организацией отчетов и иной информации, указанных в подпункте 1) настоящего пункта;</w:t>
      </w:r>
    </w:p>
    <w:bookmarkEnd w:id="73"/>
    <w:bookmarkStart w:name="z97" w:id="74"/>
    <w:p>
      <w:pPr>
        <w:spacing w:after="0"/>
        <w:ind w:left="0"/>
        <w:jc w:val="both"/>
      </w:pPr>
      <w:r>
        <w:rPr>
          <w:rFonts w:ascii="Times New Roman"/>
          <w:b w:val="false"/>
          <w:i w:val="false"/>
          <w:color w:val="000000"/>
          <w:sz w:val="28"/>
        </w:rPr>
        <w:t>
      4) методику оценки финансового состояния клиринговых участников;</w:t>
      </w:r>
    </w:p>
    <w:bookmarkEnd w:id="74"/>
    <w:bookmarkStart w:name="z98" w:id="75"/>
    <w:p>
      <w:pPr>
        <w:spacing w:after="0"/>
        <w:ind w:left="0"/>
        <w:jc w:val="both"/>
      </w:pPr>
      <w:r>
        <w:rPr>
          <w:rFonts w:ascii="Times New Roman"/>
          <w:b w:val="false"/>
          <w:i w:val="false"/>
          <w:color w:val="000000"/>
          <w:sz w:val="28"/>
        </w:rPr>
        <w:t>
      5) порядок и сроки составления и представления сводных отчетов о финансовом состоянии клиринговых участников руководящим работникам и подразделениям клиринговой организации;</w:t>
      </w:r>
    </w:p>
    <w:bookmarkEnd w:id="75"/>
    <w:bookmarkStart w:name="z99" w:id="76"/>
    <w:p>
      <w:pPr>
        <w:spacing w:after="0"/>
        <w:ind w:left="0"/>
        <w:jc w:val="both"/>
      </w:pPr>
      <w:r>
        <w:rPr>
          <w:rFonts w:ascii="Times New Roman"/>
          <w:b w:val="false"/>
          <w:i w:val="false"/>
          <w:color w:val="000000"/>
          <w:sz w:val="28"/>
        </w:rPr>
        <w:t>
      6) порядок и условия применения мер в отношении клирингового участника, не соответствующего требованиям, установленным к финансовому состоянию клиринговых участников;</w:t>
      </w:r>
    </w:p>
    <w:bookmarkEnd w:id="76"/>
    <w:bookmarkStart w:name="z100" w:id="77"/>
    <w:p>
      <w:pPr>
        <w:spacing w:after="0"/>
        <w:ind w:left="0"/>
        <w:jc w:val="both"/>
      </w:pPr>
      <w:r>
        <w:rPr>
          <w:rFonts w:ascii="Times New Roman"/>
          <w:b w:val="false"/>
          <w:i w:val="false"/>
          <w:color w:val="000000"/>
          <w:sz w:val="28"/>
        </w:rPr>
        <w:t>
      7) годовой план мониторинга клиринговых участников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клиринговой организации;</w:t>
      </w:r>
    </w:p>
    <w:bookmarkEnd w:id="77"/>
    <w:bookmarkStart w:name="z101" w:id="78"/>
    <w:p>
      <w:pPr>
        <w:spacing w:after="0"/>
        <w:ind w:left="0"/>
        <w:jc w:val="both"/>
      </w:pPr>
      <w:r>
        <w:rPr>
          <w:rFonts w:ascii="Times New Roman"/>
          <w:b w:val="false"/>
          <w:i w:val="false"/>
          <w:color w:val="000000"/>
          <w:sz w:val="28"/>
        </w:rPr>
        <w:t>
      8) порядок и условия проведения проверки клиринговых участников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клиринговой организации;</w:t>
      </w:r>
    </w:p>
    <w:bookmarkEnd w:id="78"/>
    <w:bookmarkStart w:name="z102" w:id="79"/>
    <w:p>
      <w:pPr>
        <w:spacing w:after="0"/>
        <w:ind w:left="0"/>
        <w:jc w:val="both"/>
      </w:pPr>
      <w:r>
        <w:rPr>
          <w:rFonts w:ascii="Times New Roman"/>
          <w:b w:val="false"/>
          <w:i w:val="false"/>
          <w:color w:val="000000"/>
          <w:sz w:val="28"/>
        </w:rPr>
        <w:t>
      9) методика оценки соответствия клиринговых участников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клиринговой организации;</w:t>
      </w:r>
    </w:p>
    <w:bookmarkEnd w:id="79"/>
    <w:bookmarkStart w:name="z103" w:id="80"/>
    <w:p>
      <w:pPr>
        <w:spacing w:after="0"/>
        <w:ind w:left="0"/>
        <w:jc w:val="both"/>
      </w:pPr>
      <w:r>
        <w:rPr>
          <w:rFonts w:ascii="Times New Roman"/>
          <w:b w:val="false"/>
          <w:i w:val="false"/>
          <w:color w:val="000000"/>
          <w:sz w:val="28"/>
        </w:rPr>
        <w:t>
      10) порядок и сроки оформления результатов проверки клиринговых участников и представления данной информации руководящим работникам и подразделениям клиринговой организации;</w:t>
      </w:r>
    </w:p>
    <w:bookmarkEnd w:id="80"/>
    <w:bookmarkStart w:name="z104" w:id="81"/>
    <w:p>
      <w:pPr>
        <w:spacing w:after="0"/>
        <w:ind w:left="0"/>
        <w:jc w:val="both"/>
      </w:pPr>
      <w:r>
        <w:rPr>
          <w:rFonts w:ascii="Times New Roman"/>
          <w:b w:val="false"/>
          <w:i w:val="false"/>
          <w:color w:val="000000"/>
          <w:sz w:val="28"/>
        </w:rPr>
        <w:t>
      11) порядок и условия применения мер в отношении клирингового участника, не соответствующего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клиринговой организации.</w:t>
      </w:r>
    </w:p>
    <w:bookmarkEnd w:id="81"/>
    <w:bookmarkStart w:name="z105" w:id="82"/>
    <w:p>
      <w:pPr>
        <w:spacing w:after="0"/>
        <w:ind w:left="0"/>
        <w:jc w:val="both"/>
      </w:pPr>
      <w:r>
        <w:rPr>
          <w:rFonts w:ascii="Times New Roman"/>
          <w:b w:val="false"/>
          <w:i w:val="false"/>
          <w:color w:val="000000"/>
          <w:sz w:val="28"/>
        </w:rPr>
        <w:t>
      20. Порядок и условия формирования, а также использования резервных или гарантийных фондов клиринговой организации и (или) маржевых взносов и иного обеспечения клиринговых участников включают:</w:t>
      </w:r>
    </w:p>
    <w:bookmarkEnd w:id="82"/>
    <w:bookmarkStart w:name="z106" w:id="83"/>
    <w:p>
      <w:pPr>
        <w:spacing w:after="0"/>
        <w:ind w:left="0"/>
        <w:jc w:val="both"/>
      </w:pPr>
      <w:r>
        <w:rPr>
          <w:rFonts w:ascii="Times New Roman"/>
          <w:b w:val="false"/>
          <w:i w:val="false"/>
          <w:color w:val="000000"/>
          <w:sz w:val="28"/>
        </w:rPr>
        <w:t>
      1) методику определения и оценки размеров резервных или гарантийных фондов клиринговой организации и (или) маржевых взносов, иного обеспечения клиринговых участников;</w:t>
      </w:r>
    </w:p>
    <w:bookmarkEnd w:id="83"/>
    <w:bookmarkStart w:name="z107" w:id="84"/>
    <w:p>
      <w:pPr>
        <w:spacing w:after="0"/>
        <w:ind w:left="0"/>
        <w:jc w:val="both"/>
      </w:pPr>
      <w:r>
        <w:rPr>
          <w:rFonts w:ascii="Times New Roman"/>
          <w:b w:val="false"/>
          <w:i w:val="false"/>
          <w:color w:val="000000"/>
          <w:sz w:val="28"/>
        </w:rPr>
        <w:t>
      2) порядок и условия уплаты маржевых взносов и иного обеспечения клиринговых участников, взносов клиринговых участников в гарантийный фонд клиринговой организации, формирования резервного фонда клиринговой организации;</w:t>
      </w:r>
    </w:p>
    <w:bookmarkEnd w:id="84"/>
    <w:bookmarkStart w:name="z108" w:id="85"/>
    <w:p>
      <w:pPr>
        <w:spacing w:after="0"/>
        <w:ind w:left="0"/>
        <w:jc w:val="both"/>
      </w:pPr>
      <w:r>
        <w:rPr>
          <w:rFonts w:ascii="Times New Roman"/>
          <w:b w:val="false"/>
          <w:i w:val="false"/>
          <w:color w:val="000000"/>
          <w:sz w:val="28"/>
        </w:rPr>
        <w:t>
      3) порядок и условия осуществления выплат из резервных или гарантийных фондов клиринговой организации;</w:t>
      </w:r>
    </w:p>
    <w:bookmarkEnd w:id="85"/>
    <w:bookmarkStart w:name="z109" w:id="86"/>
    <w:p>
      <w:pPr>
        <w:spacing w:after="0"/>
        <w:ind w:left="0"/>
        <w:jc w:val="both"/>
      </w:pPr>
      <w:r>
        <w:rPr>
          <w:rFonts w:ascii="Times New Roman"/>
          <w:b w:val="false"/>
          <w:i w:val="false"/>
          <w:color w:val="000000"/>
          <w:sz w:val="28"/>
        </w:rPr>
        <w:t>
      4) порядок и условия инвестирования активов резервных или гарантийных фондов клиринговой организации:</w:t>
      </w:r>
    </w:p>
    <w:bookmarkEnd w:id="86"/>
    <w:bookmarkStart w:name="z110" w:id="87"/>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или на банковском счете, открытом в Акционерном обществе "Центральный депозитарий ценных бумаг";</w:t>
      </w:r>
    </w:p>
    <w:bookmarkEnd w:id="87"/>
    <w:bookmarkStart w:name="z111" w:id="88"/>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88"/>
    <w:bookmarkStart w:name="z112" w:id="89"/>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&amp;Poor's или рейтинг аналогичного уровня по международной шкале агентств Fitch или Moody's Investors Service;</w:t>
      </w:r>
    </w:p>
    <w:bookmarkEnd w:id="89"/>
    <w:bookmarkStart w:name="z113" w:id="90"/>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90"/>
    <w:bookmarkStart w:name="z114" w:id="91"/>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91"/>
    <w:bookmarkStart w:name="z115" w:id="92"/>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92"/>
    <w:bookmarkStart w:name="z116" w:id="93"/>
    <w:p>
      <w:pPr>
        <w:spacing w:after="0"/>
        <w:ind w:left="0"/>
        <w:jc w:val="both"/>
      </w:pPr>
      <w:r>
        <w:rPr>
          <w:rFonts w:ascii="Times New Roman"/>
          <w:b w:val="false"/>
          <w:i w:val="false"/>
          <w:color w:val="000000"/>
          <w:sz w:val="28"/>
        </w:rPr>
        <w:t>
      в депозиты в банках второго уровня Республики Казахстан, имеющих долгосрочный рейтинг не ниже "ВB+" по международной шкале агентства Standard &amp; Poor's или рейтинг аналогичного уровня по международной шкале агентств Fitch или Moody's Investors Service;</w:t>
      </w:r>
    </w:p>
    <w:bookmarkEnd w:id="93"/>
    <w:bookmarkStart w:name="z117" w:id="94"/>
    <w:p>
      <w:pPr>
        <w:spacing w:after="0"/>
        <w:ind w:left="0"/>
        <w:jc w:val="both"/>
      </w:pPr>
      <w:r>
        <w:rPr>
          <w:rFonts w:ascii="Times New Roman"/>
          <w:b w:val="false"/>
          <w:i w:val="false"/>
          <w:color w:val="000000"/>
          <w:sz w:val="28"/>
        </w:rPr>
        <w:t>
      в депозиты в банках-нерезидентах Республики Казахстан,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94"/>
    <w:bookmarkStart w:name="z118" w:id="95"/>
    <w:p>
      <w:pPr>
        <w:spacing w:after="0"/>
        <w:ind w:left="0"/>
        <w:jc w:val="both"/>
      </w:pPr>
      <w:r>
        <w:rPr>
          <w:rFonts w:ascii="Times New Roman"/>
          <w:b w:val="false"/>
          <w:i w:val="false"/>
          <w:color w:val="000000"/>
          <w:sz w:val="28"/>
        </w:rPr>
        <w:t>
      в корпоративные облигации (в том числе купонные международные облигации), имеющие рейтинг не ниже "BВ-" по международной шкале агентства Standard &amp; Poor's или рейтинг аналогичного уровня по международной шкале агентств Fitch или Moody's Investors Service;</w:t>
      </w:r>
    </w:p>
    <w:bookmarkEnd w:id="95"/>
    <w:bookmarkStart w:name="z119" w:id="96"/>
    <w:p>
      <w:pPr>
        <w:spacing w:after="0"/>
        <w:ind w:left="0"/>
        <w:jc w:val="both"/>
      </w:pPr>
      <w:r>
        <w:rPr>
          <w:rFonts w:ascii="Times New Roman"/>
          <w:b w:val="false"/>
          <w:i w:val="false"/>
          <w:color w:val="000000"/>
          <w:sz w:val="28"/>
        </w:rPr>
        <w:t>
      в квазигосударственные долговые ценные бумаги резидентов Республики Казахстан, имеющих долгосрочный международный рейтинг не ниже "ВВ+" по международной шкале агентства Standard &amp; Poor's или рейтинг аналогичного уровня по международной шкале агентств Fitch или Moody's Investors Service;</w:t>
      </w:r>
    </w:p>
    <w:bookmarkEnd w:id="96"/>
    <w:bookmarkStart w:name="z120" w:id="97"/>
    <w:p>
      <w:pPr>
        <w:spacing w:after="0"/>
        <w:ind w:left="0"/>
        <w:jc w:val="both"/>
      </w:pPr>
      <w:r>
        <w:rPr>
          <w:rFonts w:ascii="Times New Roman"/>
          <w:b w:val="false"/>
          <w:i w:val="false"/>
          <w:color w:val="000000"/>
          <w:sz w:val="28"/>
        </w:rPr>
        <w:t>
      5) порядок и условия инвестирования денег, внесенных в уплату маржевых взносов и (или) в качестве иного обеспечения:</w:t>
      </w:r>
    </w:p>
    <w:bookmarkEnd w:id="97"/>
    <w:bookmarkStart w:name="z121" w:id="98"/>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или на банковском счете, открытом в Акционерном обществе "Центральный депозитарий ценных бумаг";</w:t>
      </w:r>
    </w:p>
    <w:bookmarkEnd w:id="98"/>
    <w:bookmarkStart w:name="z122" w:id="99"/>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99"/>
    <w:bookmarkStart w:name="z123" w:id="100"/>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 Poor's или рейтинг аналогичного уровня по международной шкале агентств Fitch или Moody's Investors Service;</w:t>
      </w:r>
    </w:p>
    <w:bookmarkEnd w:id="100"/>
    <w:bookmarkStart w:name="z124" w:id="101"/>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101"/>
    <w:bookmarkStart w:name="z125" w:id="102"/>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международный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102"/>
    <w:bookmarkStart w:name="z126" w:id="103"/>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103"/>
    <w:bookmarkStart w:name="z127" w:id="104"/>
    <w:p>
      <w:pPr>
        <w:spacing w:after="0"/>
        <w:ind w:left="0"/>
        <w:jc w:val="both"/>
      </w:pPr>
      <w:r>
        <w:rPr>
          <w:rFonts w:ascii="Times New Roman"/>
          <w:b w:val="false"/>
          <w:i w:val="false"/>
          <w:color w:val="000000"/>
          <w:sz w:val="28"/>
        </w:rPr>
        <w:t>
      в депозиты в банках-нерезидентах Республики Казахстан,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104"/>
    <w:bookmarkStart w:name="z128"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105"/>
    <w:bookmarkStart w:name="z129" w:id="106"/>
    <w:p>
      <w:pPr>
        <w:spacing w:after="0"/>
        <w:ind w:left="0"/>
        <w:jc w:val="both"/>
      </w:pPr>
      <w:r>
        <w:rPr>
          <w:rFonts w:ascii="Times New Roman"/>
          <w:b w:val="false"/>
          <w:i w:val="false"/>
          <w:color w:val="000000"/>
          <w:sz w:val="28"/>
        </w:rPr>
        <w:t>
      абзац первый изложить в следующей редакции:</w:t>
      </w:r>
    </w:p>
    <w:bookmarkEnd w:id="106"/>
    <w:bookmarkStart w:name="z130" w:id="107"/>
    <w:p>
      <w:pPr>
        <w:spacing w:after="0"/>
        <w:ind w:left="0"/>
        <w:jc w:val="both"/>
      </w:pPr>
      <w:r>
        <w:rPr>
          <w:rFonts w:ascii="Times New Roman"/>
          <w:b w:val="false"/>
          <w:i w:val="false"/>
          <w:color w:val="000000"/>
          <w:sz w:val="28"/>
        </w:rPr>
        <w:t>
      "21. Требования к клиринговым участникам включают следующие требования к:";</w:t>
      </w:r>
    </w:p>
    <w:bookmarkEnd w:id="107"/>
    <w:bookmarkStart w:name="z131"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3)</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33" w:id="109"/>
    <w:p>
      <w:pPr>
        <w:spacing w:after="0"/>
        <w:ind w:left="0"/>
        <w:jc w:val="both"/>
      </w:pPr>
      <w:r>
        <w:rPr>
          <w:rFonts w:ascii="Times New Roman"/>
          <w:b w:val="false"/>
          <w:i w:val="false"/>
          <w:color w:val="000000"/>
          <w:sz w:val="28"/>
        </w:rPr>
        <w:t>
      "26. Организационная структура клиринговой организации включает в себя подразделение, основной функцией которого является мониторинг и контроль клиринговых участников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клиринговой организации.";</w:t>
      </w:r>
    </w:p>
    <w:bookmarkEnd w:id="109"/>
    <w:bookmarkStart w:name="z134"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 xml:space="preserve">: </w:t>
      </w:r>
    </w:p>
    <w:bookmarkEnd w:id="110"/>
    <w:bookmarkStart w:name="z135" w:id="111"/>
    <w:p>
      <w:pPr>
        <w:spacing w:after="0"/>
        <w:ind w:left="0"/>
        <w:jc w:val="both"/>
      </w:pPr>
      <w:r>
        <w:rPr>
          <w:rFonts w:ascii="Times New Roman"/>
          <w:b w:val="false"/>
          <w:i w:val="false"/>
          <w:color w:val="000000"/>
          <w:sz w:val="28"/>
        </w:rPr>
        <w:t>
      абзац первый изложить в следующей редакции:</w:t>
      </w:r>
    </w:p>
    <w:bookmarkEnd w:id="111"/>
    <w:bookmarkStart w:name="z136" w:id="112"/>
    <w:p>
      <w:pPr>
        <w:spacing w:after="0"/>
        <w:ind w:left="0"/>
        <w:jc w:val="both"/>
      </w:pPr>
      <w:r>
        <w:rPr>
          <w:rFonts w:ascii="Times New Roman"/>
          <w:b w:val="false"/>
          <w:i w:val="false"/>
          <w:color w:val="000000"/>
          <w:sz w:val="28"/>
        </w:rPr>
        <w:t>
      "30. Подразделение, осуществляющее управление рисками, совместно с подразделением, осуществляющим мониторинг и контроль клиринговых участников, и подразделением правового обеспечения (юридическим подразделением) клиринговой организации обеспечивают регулирование правовых рисков, возникающих вследствие нарушения клиринговой организацией требований финансового законодательства Республики Казахстан, в том числе несоответствия внутренних документов клиринговой организации требованиям финансового законодательства Республики Казахстан, несоответствия практики деятельности клиринговой организации ее внутренним документам, путем:";</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38" w:id="113"/>
    <w:p>
      <w:pPr>
        <w:spacing w:after="0"/>
        <w:ind w:left="0"/>
        <w:jc w:val="both"/>
      </w:pPr>
      <w:r>
        <w:rPr>
          <w:rFonts w:ascii="Times New Roman"/>
          <w:b w:val="false"/>
          <w:i w:val="false"/>
          <w:color w:val="000000"/>
          <w:sz w:val="28"/>
        </w:rPr>
        <w:t>
      2) осуществления контроля за соответствием деятельности клиринговых участников требованиям, установленным законодательством Республики Казахстан о рынке ценных бумаг, внутренними правилами клиринговой организации;";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44 изложить в следующей редакции:</w:t>
      </w:r>
    </w:p>
    <w:bookmarkStart w:name="z140" w:id="114"/>
    <w:p>
      <w:pPr>
        <w:spacing w:after="0"/>
        <w:ind w:left="0"/>
        <w:jc w:val="both"/>
      </w:pPr>
      <w:r>
        <w:rPr>
          <w:rFonts w:ascii="Times New Roman"/>
          <w:b w:val="false"/>
          <w:i w:val="false"/>
          <w:color w:val="000000"/>
          <w:sz w:val="28"/>
        </w:rPr>
        <w:t>
      "5) формированию дополнительных гарантийных или резервных фондов клиринговой организации в случаях, предусмотренных внутренними документами клиринговой организации.";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42" w:id="115"/>
    <w:p>
      <w:pPr>
        <w:spacing w:after="0"/>
        <w:ind w:left="0"/>
        <w:jc w:val="both"/>
      </w:pPr>
      <w:r>
        <w:rPr>
          <w:rFonts w:ascii="Times New Roman"/>
          <w:b w:val="false"/>
          <w:i w:val="false"/>
          <w:color w:val="000000"/>
          <w:sz w:val="28"/>
        </w:rPr>
        <w:t>
      "46. Требования к организации деятельности по осуществлению сделок с финансовыми инструментами за счет активов клиринговой организации устанавливаются внутренними документами клиринговой организации, определяющими порядок инвестирования активов клиринговой организации.";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48 изложить в следующей редакции:</w:t>
      </w:r>
    </w:p>
    <w:bookmarkStart w:name="z144" w:id="116"/>
    <w:p>
      <w:pPr>
        <w:spacing w:after="0"/>
        <w:ind w:left="0"/>
        <w:jc w:val="both"/>
      </w:pPr>
      <w:r>
        <w:rPr>
          <w:rFonts w:ascii="Times New Roman"/>
          <w:b w:val="false"/>
          <w:i w:val="false"/>
          <w:color w:val="000000"/>
          <w:sz w:val="28"/>
        </w:rPr>
        <w:t>
      "1) операционная и финансовая эффективность деятельности клиринговой организации, что предполагает проверку эффективности управления активами клиринговой организации, процедур клиринга, исполнения надзорных функций в отношении клиринговых участников и определения вероятности убытков;";</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50 изложить в следующей редакции:</w:t>
      </w:r>
    </w:p>
    <w:bookmarkStart w:name="z146" w:id="117"/>
    <w:p>
      <w:pPr>
        <w:spacing w:after="0"/>
        <w:ind w:left="0"/>
        <w:jc w:val="both"/>
      </w:pPr>
      <w:r>
        <w:rPr>
          <w:rFonts w:ascii="Times New Roman"/>
          <w:b w:val="false"/>
          <w:i w:val="false"/>
          <w:color w:val="000000"/>
          <w:sz w:val="28"/>
        </w:rPr>
        <w:t>
      "9) проверка эффективности надзорных процедур в отношении клиринговых участников;";</w:t>
      </w:r>
    </w:p>
    <w:bookmarkEnd w:id="117"/>
    <w:bookmarkStart w:name="z147"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18"/>
    <w:bookmarkStart w:name="z148" w:id="11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88 "Об утверждении Правил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и сроков предоставления информации в Национальный Банк Республики Казахстан" (зарегистрировано в Реестре государственной регистрации нормативных правовых актов под № 7568, опубликовано 1 августа 2012 года в газете "Казахстанская правда" № 245-246 (27064-27065) следующие изменения:</w:t>
      </w:r>
    </w:p>
    <w:bookmarkEnd w:id="119"/>
    <w:bookmarkStart w:name="z149" w:id="120"/>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20"/>
    <w:bookmarkStart w:name="z150"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21"/>
    <w:bookmarkStart w:name="z151"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представителем держателей облигаций своих функций и обязанностей, досрочного прекращения его полномочий, а также требованиях к содержанию договора о представлении интересов держателей облигаций, заключаемого между эмитентом и представителем держателей облигаций, и сроках предоставления информации в Национальный Банк Республики Казахстан, утвержденных указанным постановлением:</w:t>
      </w:r>
    </w:p>
    <w:bookmarkEnd w:id="122"/>
    <w:bookmarkStart w:name="z152" w:id="123"/>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4" w:id="124"/>
    <w:p>
      <w:pPr>
        <w:spacing w:after="0"/>
        <w:ind w:left="0"/>
        <w:jc w:val="both"/>
      </w:pPr>
      <w:r>
        <w:rPr>
          <w:rFonts w:ascii="Times New Roman"/>
          <w:b w:val="false"/>
          <w:i w:val="false"/>
          <w:color w:val="000000"/>
          <w:sz w:val="28"/>
        </w:rPr>
        <w:t xml:space="preserve">
      "Настоящие Правила исполнения представителем держателей облигаций своих функций и обязанностей, досрочного прекращения его полномочий, а также требования к содержанию договора о представлении интересов держателей облигаций, заключаемого между эмитентом и представителем держателей облигаций, и сроки предоставления информации в Национальный Банк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и определяют порядок исполнения представителем держателей облигаций (далее – представитель) своих функций и обязанностей при выпуске, размещении, обращении и погашении обеспеченных, инфраструктурных или ипотечных облигаций (далее – облигации), требования к содержанию договора о представлении интересов держателей облигаций, заключаемого между эмитентом и представителем, порядок и случаи досрочного прекращения его полномочий, а также сроки предоставления информации в Национальный Банк Республики Казахстан (далее - уполномоченный орган)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20 Закона.";</w:t>
      </w:r>
    </w:p>
    <w:bookmarkEnd w:id="124"/>
    <w:bookmarkStart w:name="z155" w:id="12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25"/>
    <w:bookmarkStart w:name="z156" w:id="126"/>
    <w:p>
      <w:pPr>
        <w:spacing w:after="0"/>
        <w:ind w:left="0"/>
        <w:jc w:val="both"/>
      </w:pPr>
      <w:r>
        <w:rPr>
          <w:rFonts w:ascii="Times New Roman"/>
          <w:b w:val="false"/>
          <w:i w:val="false"/>
          <w:color w:val="000000"/>
          <w:sz w:val="28"/>
        </w:rPr>
        <w:t xml:space="preserve">
      "Эмитент, являющийся банком второго уровня, представляет представителю отчет об остатках на балансовых и внебалансовых счетах банков второго уровня, составленный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29 июня 2018 года № 137 "Об утверждении перечня, форм, сроков отчетности банков второго уровня Республики Казахстан и Правил их представления", зарегистрированному в Реестре государственной регистрации нормативных правовых актов под № 17313."; </w:t>
      </w:r>
    </w:p>
    <w:bookmarkEnd w:id="126"/>
    <w:bookmarkStart w:name="z157" w:id="12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7"/>
    <w:bookmarkStart w:name="z158" w:id="128"/>
    <w:p>
      <w:pPr>
        <w:spacing w:after="0"/>
        <w:ind w:left="0"/>
        <w:jc w:val="both"/>
      </w:pPr>
      <w:r>
        <w:rPr>
          <w:rFonts w:ascii="Times New Roman"/>
          <w:b w:val="false"/>
          <w:i w:val="false"/>
          <w:color w:val="000000"/>
          <w:sz w:val="28"/>
        </w:rPr>
        <w:t xml:space="preserve">
      "3. В случае неисполнения или ненадлежащего исполнения эмитентом обязательств по выплате вознаграждения и (или) номинальной стоимости облигаций, а также наступлении случаев, влекущих последствия, связанные с неисполнением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15 Закона и проспектом выпуска облигаций, представитель в срок не позднее одного рабочего дня со дня получения данных сведений информирует об этом уполномоченный орган, держателей облигаций и фондовую биржу (в случае, если облигации включены в официальный список фондовой биржи) с описанием мер, предпринимаемых представителем в рамках осуществления своих функций и реализации своих прав по заключенному договору с эмитентом.";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6 изложить в следующей редакции:</w:t>
      </w:r>
    </w:p>
    <w:bookmarkStart w:name="z160" w:id="129"/>
    <w:p>
      <w:pPr>
        <w:spacing w:after="0"/>
        <w:ind w:left="0"/>
        <w:jc w:val="both"/>
      </w:pPr>
      <w:r>
        <w:rPr>
          <w:rFonts w:ascii="Times New Roman"/>
          <w:b w:val="false"/>
          <w:i w:val="false"/>
          <w:color w:val="000000"/>
          <w:sz w:val="28"/>
        </w:rPr>
        <w:t>
      "6) извещает уполномоченный орган и держателей облигаций о прекращении его полномочий в качестве представителя в течение 5 (пяти) рабочих дней с даты расторжения или с даты истечения срока действия договора с эмитентом;".</w:t>
      </w:r>
    </w:p>
    <w:bookmarkEnd w:id="129"/>
    <w:bookmarkStart w:name="z161" w:id="13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11 "Об утверждении Требований к системе управления рисками центрального контрагента, условиям и порядку мониторинга, контроля и управления рисками центрального контрагента" (зарегистрировано в Реестре государственной регистрации нормативных правовых актов под № 13314, опубликовано 14 марта 2016 года в информационно-правовой системе "Әділет") следующие изменения:</w:t>
      </w:r>
    </w:p>
    <w:bookmarkEnd w:id="130"/>
    <w:bookmarkStart w:name="z162"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центрального контрагента, условиям и порядку мониторинга, контроля и управления рисками центрального контрагента, утвержденных указанным постановлением :</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4" w:id="132"/>
    <w:p>
      <w:pPr>
        <w:spacing w:after="0"/>
        <w:ind w:left="0"/>
        <w:jc w:val="both"/>
      </w:pPr>
      <w:r>
        <w:rPr>
          <w:rFonts w:ascii="Times New Roman"/>
          <w:b w:val="false"/>
          <w:i w:val="false"/>
          <w:color w:val="000000"/>
          <w:sz w:val="28"/>
        </w:rPr>
        <w:t>
      "2. В Требованиях используются следующие понятия:</w:t>
      </w:r>
    </w:p>
    <w:bookmarkEnd w:id="132"/>
    <w:bookmarkStart w:name="z165" w:id="133"/>
    <w:p>
      <w:pPr>
        <w:spacing w:after="0"/>
        <w:ind w:left="0"/>
        <w:jc w:val="both"/>
      </w:pPr>
      <w:r>
        <w:rPr>
          <w:rFonts w:ascii="Times New Roman"/>
          <w:b w:val="false"/>
          <w:i w:val="false"/>
          <w:color w:val="000000"/>
          <w:sz w:val="28"/>
        </w:rPr>
        <w:t xml:space="preserve">
      1) ценовой риск - риск возникновения расходов (убытков) вследствие изменения стоимости финансовых инструментов, возникающий в случае изменения условий финансовых рынков, влияющих на рыночную стоимость финансовых инструментов, товаров; </w:t>
      </w:r>
    </w:p>
    <w:bookmarkEnd w:id="133"/>
    <w:bookmarkStart w:name="z166" w:id="134"/>
    <w:p>
      <w:pPr>
        <w:spacing w:after="0"/>
        <w:ind w:left="0"/>
        <w:jc w:val="both"/>
      </w:pPr>
      <w:r>
        <w:rPr>
          <w:rFonts w:ascii="Times New Roman"/>
          <w:b w:val="false"/>
          <w:i w:val="false"/>
          <w:color w:val="000000"/>
          <w:sz w:val="28"/>
        </w:rPr>
        <w:t xml:space="preserve">
      2)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негативного представления о финансовой надежности центрального контрагента, качестве оказываемых услуг или характере деятельности центрального контрагента в целом; </w:t>
      </w:r>
    </w:p>
    <w:bookmarkEnd w:id="134"/>
    <w:bookmarkStart w:name="z167" w:id="135"/>
    <w:p>
      <w:pPr>
        <w:spacing w:after="0"/>
        <w:ind w:left="0"/>
        <w:jc w:val="both"/>
      </w:pPr>
      <w:r>
        <w:rPr>
          <w:rFonts w:ascii="Times New Roman"/>
          <w:b w:val="false"/>
          <w:i w:val="false"/>
          <w:color w:val="000000"/>
          <w:sz w:val="28"/>
        </w:rPr>
        <w:t xml:space="preserve">
      3) валютный риск - вероятность возникновения финансовых потерь вследствие неблагоприятных изменений курсов иностранных валют при осуществлении центральным контрагентом своей деятельности; </w:t>
      </w:r>
    </w:p>
    <w:bookmarkEnd w:id="135"/>
    <w:bookmarkStart w:name="z168" w:id="136"/>
    <w:p>
      <w:pPr>
        <w:spacing w:after="0"/>
        <w:ind w:left="0"/>
        <w:jc w:val="both"/>
      </w:pPr>
      <w:r>
        <w:rPr>
          <w:rFonts w:ascii="Times New Roman"/>
          <w:b w:val="false"/>
          <w:i w:val="false"/>
          <w:color w:val="000000"/>
          <w:sz w:val="28"/>
        </w:rPr>
        <w:t xml:space="preserve">
      4) расчетная организация - организация, осуществляющая организацию расчетов (платежей) по сделкам с финансовыми инструментами; </w:t>
      </w:r>
    </w:p>
    <w:bookmarkEnd w:id="136"/>
    <w:bookmarkStart w:name="z169" w:id="137"/>
    <w:p>
      <w:pPr>
        <w:spacing w:after="0"/>
        <w:ind w:left="0"/>
        <w:jc w:val="both"/>
      </w:pPr>
      <w:r>
        <w:rPr>
          <w:rFonts w:ascii="Times New Roman"/>
          <w:b w:val="false"/>
          <w:i w:val="false"/>
          <w:color w:val="000000"/>
          <w:sz w:val="28"/>
        </w:rPr>
        <w:t>
      5) гарантийный фонд – средства, сформированные за счет взносов клиринговых участников и предназначенные для снижения рисков деятельности клиринговой организации (центрального контрагента) при обслуживании клиринговых участников;</w:t>
      </w:r>
    </w:p>
    <w:bookmarkEnd w:id="137"/>
    <w:bookmarkStart w:name="z170" w:id="138"/>
    <w:p>
      <w:pPr>
        <w:spacing w:after="0"/>
        <w:ind w:left="0"/>
        <w:jc w:val="both"/>
      </w:pPr>
      <w:r>
        <w:rPr>
          <w:rFonts w:ascii="Times New Roman"/>
          <w:b w:val="false"/>
          <w:i w:val="false"/>
          <w:color w:val="000000"/>
          <w:sz w:val="28"/>
        </w:rPr>
        <w:t xml:space="preserve">
      6) кредитный риск - вероятность возникновения потерь, возникающая вследствие невыполнения контрагентом своих обязательств в соответствии с оговоренными условиями; </w:t>
      </w:r>
    </w:p>
    <w:bookmarkEnd w:id="138"/>
    <w:bookmarkStart w:name="z171" w:id="139"/>
    <w:p>
      <w:pPr>
        <w:spacing w:after="0"/>
        <w:ind w:left="0"/>
        <w:jc w:val="both"/>
      </w:pPr>
      <w:r>
        <w:rPr>
          <w:rFonts w:ascii="Times New Roman"/>
          <w:b w:val="false"/>
          <w:i w:val="false"/>
          <w:color w:val="000000"/>
          <w:sz w:val="28"/>
        </w:rPr>
        <w:t xml:space="preserve">
      7) правовой риск - вероятность возникновения потерь вследствие: </w:t>
      </w:r>
    </w:p>
    <w:bookmarkEnd w:id="139"/>
    <w:bookmarkStart w:name="z172" w:id="140"/>
    <w:p>
      <w:pPr>
        <w:spacing w:after="0"/>
        <w:ind w:left="0"/>
        <w:jc w:val="both"/>
      </w:pPr>
      <w:r>
        <w:rPr>
          <w:rFonts w:ascii="Times New Roman"/>
          <w:b w:val="false"/>
          <w:i w:val="false"/>
          <w:color w:val="000000"/>
          <w:sz w:val="28"/>
        </w:rPr>
        <w:t>
      нарушения контрагентами требований нормативных правовых актов Республики Казахстан, а также условий заключенных договоров;</w:t>
      </w:r>
    </w:p>
    <w:bookmarkEnd w:id="140"/>
    <w:bookmarkStart w:name="z173" w:id="141"/>
    <w:p>
      <w:pPr>
        <w:spacing w:after="0"/>
        <w:ind w:left="0"/>
        <w:jc w:val="both"/>
      </w:pPr>
      <w:r>
        <w:rPr>
          <w:rFonts w:ascii="Times New Roman"/>
          <w:b w:val="false"/>
          <w:i w:val="false"/>
          <w:color w:val="000000"/>
          <w:sz w:val="28"/>
        </w:rPr>
        <w:t xml:space="preserve">
      несовершенства правовой системы (противоречивости законодательства, отсутствия правовых норм по регулированию отдельных вопросов, возникающих в процессе деятельности центрального контрагента); </w:t>
      </w:r>
    </w:p>
    <w:bookmarkEnd w:id="141"/>
    <w:bookmarkStart w:name="z174" w:id="142"/>
    <w:p>
      <w:pPr>
        <w:spacing w:after="0"/>
        <w:ind w:left="0"/>
        <w:jc w:val="both"/>
      </w:pPr>
      <w:r>
        <w:rPr>
          <w:rFonts w:ascii="Times New Roman"/>
          <w:b w:val="false"/>
          <w:i w:val="false"/>
          <w:color w:val="000000"/>
          <w:sz w:val="28"/>
        </w:rPr>
        <w:t xml:space="preserve">
      допущения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 </w:t>
      </w:r>
    </w:p>
    <w:bookmarkEnd w:id="142"/>
    <w:bookmarkStart w:name="z175" w:id="143"/>
    <w:p>
      <w:pPr>
        <w:spacing w:after="0"/>
        <w:ind w:left="0"/>
        <w:jc w:val="both"/>
      </w:pPr>
      <w:r>
        <w:rPr>
          <w:rFonts w:ascii="Times New Roman"/>
          <w:b w:val="false"/>
          <w:i w:val="false"/>
          <w:color w:val="000000"/>
          <w:sz w:val="28"/>
        </w:rPr>
        <w:t xml:space="preserve">
      несоблюдения центральным контрагентом требований законодательства Республики Казахстан, а в отношениях с нерезидентами Республики Казахстан - применимого законодательства других государств; </w:t>
      </w:r>
    </w:p>
    <w:bookmarkEnd w:id="143"/>
    <w:bookmarkStart w:name="z176" w:id="144"/>
    <w:p>
      <w:pPr>
        <w:spacing w:after="0"/>
        <w:ind w:left="0"/>
        <w:jc w:val="both"/>
      </w:pPr>
      <w:r>
        <w:rPr>
          <w:rFonts w:ascii="Times New Roman"/>
          <w:b w:val="false"/>
          <w:i w:val="false"/>
          <w:color w:val="000000"/>
          <w:sz w:val="28"/>
        </w:rPr>
        <w:t xml:space="preserve">
      несоблюдения центральным контрагентом условий заключенных договоров; </w:t>
      </w:r>
    </w:p>
    <w:bookmarkEnd w:id="144"/>
    <w:bookmarkStart w:name="z177" w:id="145"/>
    <w:p>
      <w:pPr>
        <w:spacing w:after="0"/>
        <w:ind w:left="0"/>
        <w:jc w:val="both"/>
      </w:pPr>
      <w:r>
        <w:rPr>
          <w:rFonts w:ascii="Times New Roman"/>
          <w:b w:val="false"/>
          <w:i w:val="false"/>
          <w:color w:val="000000"/>
          <w:sz w:val="28"/>
        </w:rPr>
        <w:t xml:space="preserve">
      8) операционный риск - вероятность возникновения потерь в результате неадекватных или недостаточных внутренних процессов, человеческих ресурсов и систем или внешних событий, в том числе: </w:t>
      </w:r>
    </w:p>
    <w:bookmarkEnd w:id="145"/>
    <w:bookmarkStart w:name="z178" w:id="146"/>
    <w:p>
      <w:pPr>
        <w:spacing w:after="0"/>
        <w:ind w:left="0"/>
        <w:jc w:val="both"/>
      </w:pPr>
      <w:r>
        <w:rPr>
          <w:rFonts w:ascii="Times New Roman"/>
          <w:b w:val="false"/>
          <w:i w:val="false"/>
          <w:color w:val="000000"/>
          <w:sz w:val="28"/>
        </w:rPr>
        <w:t>
      риск, вызванный неадекватными стратегиями, политиками и (или) стандартами в области информационных технологий, недостатками использования программного обеспечения;</w:t>
      </w:r>
    </w:p>
    <w:bookmarkEnd w:id="146"/>
    <w:bookmarkStart w:name="z179" w:id="147"/>
    <w:p>
      <w:pPr>
        <w:spacing w:after="0"/>
        <w:ind w:left="0"/>
        <w:jc w:val="both"/>
      </w:pPr>
      <w:r>
        <w:rPr>
          <w:rFonts w:ascii="Times New Roman"/>
          <w:b w:val="false"/>
          <w:i w:val="false"/>
          <w:color w:val="000000"/>
          <w:sz w:val="28"/>
        </w:rPr>
        <w:t>
      риск, связанный с неадекватной информацией либо ее несоответствующим использованием;</w:t>
      </w:r>
    </w:p>
    <w:bookmarkEnd w:id="147"/>
    <w:bookmarkStart w:name="z180" w:id="148"/>
    <w:p>
      <w:pPr>
        <w:spacing w:after="0"/>
        <w:ind w:left="0"/>
        <w:jc w:val="both"/>
      </w:pPr>
      <w:r>
        <w:rPr>
          <w:rFonts w:ascii="Times New Roman"/>
          <w:b w:val="false"/>
          <w:i w:val="false"/>
          <w:color w:val="000000"/>
          <w:sz w:val="28"/>
        </w:rPr>
        <w:t>
      риск, связанный с неадекватным построением бизнес-процессов либо слабым контролем за соблюдением внутренних документов и правил;</w:t>
      </w:r>
    </w:p>
    <w:bookmarkEnd w:id="148"/>
    <w:bookmarkStart w:name="z181" w:id="149"/>
    <w:p>
      <w:pPr>
        <w:spacing w:after="0"/>
        <w:ind w:left="0"/>
        <w:jc w:val="both"/>
      </w:pPr>
      <w:r>
        <w:rPr>
          <w:rFonts w:ascii="Times New Roman"/>
          <w:b w:val="false"/>
          <w:i w:val="false"/>
          <w:color w:val="000000"/>
          <w:sz w:val="28"/>
        </w:rPr>
        <w:t>
      риск, связанный с неопределенной, неадекватной организационной структурой центрального контрагента, включая распределение ответственности, структуру подотчетности и управления;</w:t>
      </w:r>
    </w:p>
    <w:bookmarkEnd w:id="149"/>
    <w:bookmarkStart w:name="z182" w:id="150"/>
    <w:p>
      <w:pPr>
        <w:spacing w:after="0"/>
        <w:ind w:left="0"/>
        <w:jc w:val="both"/>
      </w:pPr>
      <w:r>
        <w:rPr>
          <w:rFonts w:ascii="Times New Roman"/>
          <w:b w:val="false"/>
          <w:i w:val="false"/>
          <w:color w:val="000000"/>
          <w:sz w:val="28"/>
        </w:rPr>
        <w:t>
      риск, связанный с несоответствующим управлением персоналом и (или) неквалифицированным персоналом центрального контрагента;</w:t>
      </w:r>
    </w:p>
    <w:bookmarkEnd w:id="150"/>
    <w:bookmarkStart w:name="z183" w:id="151"/>
    <w:p>
      <w:pPr>
        <w:spacing w:after="0"/>
        <w:ind w:left="0"/>
        <w:jc w:val="both"/>
      </w:pPr>
      <w:r>
        <w:rPr>
          <w:rFonts w:ascii="Times New Roman"/>
          <w:b w:val="false"/>
          <w:i w:val="false"/>
          <w:color w:val="000000"/>
          <w:sz w:val="28"/>
        </w:rPr>
        <w:t>
      риск, связанный с несоответствием внутренних документов центрального контрагента требованиям законодательства;</w:t>
      </w:r>
    </w:p>
    <w:bookmarkEnd w:id="151"/>
    <w:bookmarkStart w:name="z184" w:id="152"/>
    <w:p>
      <w:pPr>
        <w:spacing w:after="0"/>
        <w:ind w:left="0"/>
        <w:jc w:val="both"/>
      </w:pPr>
      <w:r>
        <w:rPr>
          <w:rFonts w:ascii="Times New Roman"/>
          <w:b w:val="false"/>
          <w:i w:val="false"/>
          <w:color w:val="000000"/>
          <w:sz w:val="28"/>
        </w:rPr>
        <w:t>
      риск, связанный с действиями персонала банка, который негативно отразиться на деятельности центрального контрагента, мошенничество;</w:t>
      </w:r>
    </w:p>
    <w:bookmarkEnd w:id="152"/>
    <w:bookmarkStart w:name="z185" w:id="153"/>
    <w:p>
      <w:pPr>
        <w:spacing w:after="0"/>
        <w:ind w:left="0"/>
        <w:jc w:val="both"/>
      </w:pPr>
      <w:r>
        <w:rPr>
          <w:rFonts w:ascii="Times New Roman"/>
          <w:b w:val="false"/>
          <w:i w:val="false"/>
          <w:color w:val="000000"/>
          <w:sz w:val="28"/>
        </w:rPr>
        <w:t>
      риск, вызванный непредвиденными или неконтролируемыми факторами внешнего воздействия на операции центрального контрагента;</w:t>
      </w:r>
    </w:p>
    <w:bookmarkEnd w:id="153"/>
    <w:bookmarkStart w:name="z186" w:id="154"/>
    <w:p>
      <w:pPr>
        <w:spacing w:after="0"/>
        <w:ind w:left="0"/>
        <w:jc w:val="both"/>
      </w:pPr>
      <w:r>
        <w:rPr>
          <w:rFonts w:ascii="Times New Roman"/>
          <w:b w:val="false"/>
          <w:i w:val="false"/>
          <w:color w:val="000000"/>
          <w:sz w:val="28"/>
        </w:rPr>
        <w:t>
      9) центральный контрагент – организация, осуществляющая клиринговую деятельность по сделкам с финансовыми инструментами, а также отдельные виды банковских операций, и выступающая стороной по сделкам, заключаемым на организованном и неорганизованном рынках ценных бумаг, а также на товарной бирже для каждого продавца и каждого покупателя финансового инструмента;</w:t>
      </w:r>
    </w:p>
    <w:bookmarkEnd w:id="154"/>
    <w:bookmarkStart w:name="z187" w:id="155"/>
    <w:p>
      <w:pPr>
        <w:spacing w:after="0"/>
        <w:ind w:left="0"/>
        <w:jc w:val="both"/>
      </w:pPr>
      <w:r>
        <w:rPr>
          <w:rFonts w:ascii="Times New Roman"/>
          <w:b w:val="false"/>
          <w:i w:val="false"/>
          <w:color w:val="000000"/>
          <w:sz w:val="28"/>
        </w:rPr>
        <w:t xml:space="preserve">
      10) риск потери ликвидности - вероятность возникновения потерь в результате неспособности центрального контрагента выполнить свои обязательства в установленный срок без значительных убытков; </w:t>
      </w:r>
    </w:p>
    <w:bookmarkEnd w:id="155"/>
    <w:bookmarkStart w:name="z188" w:id="156"/>
    <w:p>
      <w:pPr>
        <w:spacing w:after="0"/>
        <w:ind w:left="0"/>
        <w:jc w:val="both"/>
      </w:pPr>
      <w:r>
        <w:rPr>
          <w:rFonts w:ascii="Times New Roman"/>
          <w:b w:val="false"/>
          <w:i w:val="false"/>
          <w:color w:val="000000"/>
          <w:sz w:val="28"/>
        </w:rPr>
        <w:t xml:space="preserve">
      11) процентный риск - вероятность возникновения финансовых потерь вследствие неблагоприятного изменения рыночных процентных ставок по активам, пассивам и внебалансовым инструментам; </w:t>
      </w:r>
    </w:p>
    <w:bookmarkEnd w:id="156"/>
    <w:bookmarkStart w:name="z189" w:id="157"/>
    <w:p>
      <w:pPr>
        <w:spacing w:after="0"/>
        <w:ind w:left="0"/>
        <w:jc w:val="both"/>
      </w:pPr>
      <w:r>
        <w:rPr>
          <w:rFonts w:ascii="Times New Roman"/>
          <w:b w:val="false"/>
          <w:i w:val="false"/>
          <w:color w:val="000000"/>
          <w:sz w:val="28"/>
        </w:rPr>
        <w:t xml:space="preserve">
      12) резервный фонд - средства, сформированные за счет собственных активов центрального контрагента и предназначенные для снижения рисков деятельности центрального контрагента; </w:t>
      </w:r>
    </w:p>
    <w:bookmarkEnd w:id="157"/>
    <w:bookmarkStart w:name="z190" w:id="158"/>
    <w:p>
      <w:pPr>
        <w:spacing w:after="0"/>
        <w:ind w:left="0"/>
        <w:jc w:val="both"/>
      </w:pPr>
      <w:r>
        <w:rPr>
          <w:rFonts w:ascii="Times New Roman"/>
          <w:b w:val="false"/>
          <w:i w:val="false"/>
          <w:color w:val="000000"/>
          <w:sz w:val="28"/>
        </w:rPr>
        <w:t xml:space="preserve">
      13) стресс - тестинг - методы измерения потенциального влияния на финансовое положение центрального контрагента исключительных, но возможных событий, которые оказывают влияние на деятельность центрального контрагента; </w:t>
      </w:r>
    </w:p>
    <w:bookmarkEnd w:id="158"/>
    <w:bookmarkStart w:name="z191" w:id="159"/>
    <w:p>
      <w:pPr>
        <w:spacing w:after="0"/>
        <w:ind w:left="0"/>
        <w:jc w:val="both"/>
      </w:pPr>
      <w:r>
        <w:rPr>
          <w:rFonts w:ascii="Times New Roman"/>
          <w:b w:val="false"/>
          <w:i w:val="false"/>
          <w:color w:val="000000"/>
          <w:sz w:val="28"/>
        </w:rPr>
        <w:t xml:space="preserve">
      14) риск - вероятность того, что ожидаемые или непредвиденные события оказывают негативное влияние на центральный контрагент, его капитал или доходы; </w:t>
      </w:r>
    </w:p>
    <w:bookmarkEnd w:id="159"/>
    <w:bookmarkStart w:name="z192" w:id="160"/>
    <w:p>
      <w:pPr>
        <w:spacing w:after="0"/>
        <w:ind w:left="0"/>
        <w:jc w:val="both"/>
      </w:pPr>
      <w:r>
        <w:rPr>
          <w:rFonts w:ascii="Times New Roman"/>
          <w:b w:val="false"/>
          <w:i w:val="false"/>
          <w:color w:val="000000"/>
          <w:sz w:val="28"/>
        </w:rPr>
        <w:t>
      15) уполномоченный орган - уполномоченный орган по регулированию, контролю и надзору финансового рынка и финансовых организаций.";</w:t>
      </w:r>
    </w:p>
    <w:bookmarkEnd w:id="160"/>
    <w:bookmarkStart w:name="z193" w:id="16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61"/>
    <w:bookmarkStart w:name="z194" w:id="162"/>
    <w:p>
      <w:pPr>
        <w:spacing w:after="0"/>
        <w:ind w:left="0"/>
        <w:jc w:val="both"/>
      </w:pPr>
      <w:r>
        <w:rPr>
          <w:rFonts w:ascii="Times New Roman"/>
          <w:b w:val="false"/>
          <w:i w:val="false"/>
          <w:color w:val="000000"/>
          <w:sz w:val="28"/>
        </w:rPr>
        <w:t>
      "4) требования к организации деятельности по осуществлению сделок с финансовыми инструментами;";</w:t>
      </w:r>
    </w:p>
    <w:bookmarkEnd w:id="162"/>
    <w:bookmarkStart w:name="z195"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63"/>
    <w:bookmarkStart w:name="z196" w:id="164"/>
    <w:p>
      <w:pPr>
        <w:spacing w:after="0"/>
        <w:ind w:left="0"/>
        <w:jc w:val="both"/>
      </w:pPr>
      <w:r>
        <w:rPr>
          <w:rFonts w:ascii="Times New Roman"/>
          <w:b w:val="false"/>
          <w:i w:val="false"/>
          <w:color w:val="000000"/>
          <w:sz w:val="28"/>
        </w:rPr>
        <w:t>
      подпункт 1) изложить в следующей редакции:</w:t>
      </w:r>
    </w:p>
    <w:bookmarkEnd w:id="164"/>
    <w:bookmarkStart w:name="z197" w:id="165"/>
    <w:p>
      <w:pPr>
        <w:spacing w:after="0"/>
        <w:ind w:left="0"/>
        <w:jc w:val="both"/>
      </w:pPr>
      <w:r>
        <w:rPr>
          <w:rFonts w:ascii="Times New Roman"/>
          <w:b w:val="false"/>
          <w:i w:val="false"/>
          <w:color w:val="000000"/>
          <w:sz w:val="28"/>
        </w:rPr>
        <w:t>
      1) сбор, ввод, хранение и распространение информации, предоставляемой клиринговыми участниками, фондовой биржей, центральным депозитарием и (или) расчетной организацией;</w:t>
      </w:r>
    </w:p>
    <w:bookmarkEnd w:id="165"/>
    <w:bookmarkStart w:name="z198" w:id="166"/>
    <w:p>
      <w:pPr>
        <w:spacing w:after="0"/>
        <w:ind w:left="0"/>
        <w:jc w:val="both"/>
      </w:pPr>
      <w:r>
        <w:rPr>
          <w:rFonts w:ascii="Times New Roman"/>
          <w:b w:val="false"/>
          <w:i w:val="false"/>
          <w:color w:val="000000"/>
          <w:sz w:val="28"/>
        </w:rPr>
        <w:t>
      подпункты 4) и 5) изложить в следующей редакции:</w:t>
      </w:r>
    </w:p>
    <w:bookmarkEnd w:id="166"/>
    <w:bookmarkStart w:name="z199" w:id="167"/>
    <w:p>
      <w:pPr>
        <w:spacing w:after="0"/>
        <w:ind w:left="0"/>
        <w:jc w:val="both"/>
      </w:pPr>
      <w:r>
        <w:rPr>
          <w:rFonts w:ascii="Times New Roman"/>
          <w:b w:val="false"/>
          <w:i w:val="false"/>
          <w:color w:val="000000"/>
          <w:sz w:val="28"/>
        </w:rPr>
        <w:t>
      "4) инвестирование активов центрального контрагента в финансовые инструменты;</w:t>
      </w:r>
    </w:p>
    <w:bookmarkEnd w:id="167"/>
    <w:bookmarkStart w:name="z200" w:id="168"/>
    <w:p>
      <w:pPr>
        <w:spacing w:after="0"/>
        <w:ind w:left="0"/>
        <w:jc w:val="both"/>
      </w:pPr>
      <w:r>
        <w:rPr>
          <w:rFonts w:ascii="Times New Roman"/>
          <w:b w:val="false"/>
          <w:i w:val="false"/>
          <w:color w:val="000000"/>
          <w:sz w:val="28"/>
        </w:rPr>
        <w:t>
      5) формирование и использование резервных или гарантийных фондов, маржевых взносов и иного обеспечения клиринговых участников;";</w:t>
      </w:r>
    </w:p>
    <w:bookmarkEnd w:id="168"/>
    <w:bookmarkStart w:name="z201" w:id="169"/>
    <w:p>
      <w:pPr>
        <w:spacing w:after="0"/>
        <w:ind w:left="0"/>
        <w:jc w:val="both"/>
      </w:pPr>
      <w:r>
        <w:rPr>
          <w:rFonts w:ascii="Times New Roman"/>
          <w:b w:val="false"/>
          <w:i w:val="false"/>
          <w:color w:val="000000"/>
          <w:sz w:val="28"/>
        </w:rPr>
        <w:t>
      подпункт 7) изложить в следующей редакции:</w:t>
      </w:r>
    </w:p>
    <w:bookmarkEnd w:id="169"/>
    <w:bookmarkStart w:name="z202" w:id="170"/>
    <w:p>
      <w:pPr>
        <w:spacing w:after="0"/>
        <w:ind w:left="0"/>
        <w:jc w:val="both"/>
      </w:pPr>
      <w:r>
        <w:rPr>
          <w:rFonts w:ascii="Times New Roman"/>
          <w:b w:val="false"/>
          <w:i w:val="false"/>
          <w:color w:val="000000"/>
          <w:sz w:val="28"/>
        </w:rPr>
        <w:t>
      "7) определение порядка организации работы с клиринговыми участниками, в том числе определение процедур по рассмотрению и разрешению споров, а также применению соответствующих мер в случае невыполнения клиринговыми участниками своих обязательств;";</w:t>
      </w:r>
    </w:p>
    <w:bookmarkEnd w:id="170"/>
    <w:bookmarkStart w:name="z203" w:id="171"/>
    <w:p>
      <w:pPr>
        <w:spacing w:after="0"/>
        <w:ind w:left="0"/>
        <w:jc w:val="both"/>
      </w:pPr>
      <w:r>
        <w:rPr>
          <w:rFonts w:ascii="Times New Roman"/>
          <w:b w:val="false"/>
          <w:i w:val="false"/>
          <w:color w:val="000000"/>
          <w:sz w:val="28"/>
        </w:rPr>
        <w:t>
      абзац пятый подпункта 8) изложить в следующей редакции:</w:t>
      </w:r>
    </w:p>
    <w:bookmarkEnd w:id="171"/>
    <w:bookmarkStart w:name="z204" w:id="172"/>
    <w:p>
      <w:pPr>
        <w:spacing w:after="0"/>
        <w:ind w:left="0"/>
        <w:jc w:val="both"/>
      </w:pPr>
      <w:r>
        <w:rPr>
          <w:rFonts w:ascii="Times New Roman"/>
          <w:b w:val="false"/>
          <w:i w:val="false"/>
          <w:color w:val="000000"/>
          <w:sz w:val="28"/>
        </w:rPr>
        <w:t>
      "мониторинг финансового состояния клиринговых участников, а также на предмет их соответствия требованиям внутренних документов центрального контрагента;";</w:t>
      </w:r>
    </w:p>
    <w:bookmarkEnd w:id="172"/>
    <w:bookmarkStart w:name="z205"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73"/>
    <w:bookmarkStart w:name="z206" w:id="174"/>
    <w:p>
      <w:pPr>
        <w:spacing w:after="0"/>
        <w:ind w:left="0"/>
        <w:jc w:val="both"/>
      </w:pPr>
      <w:r>
        <w:rPr>
          <w:rFonts w:ascii="Times New Roman"/>
          <w:b w:val="false"/>
          <w:i w:val="false"/>
          <w:color w:val="000000"/>
          <w:sz w:val="28"/>
        </w:rPr>
        <w:t>
      подпункты 2) и 3) изложить в следующей редакции:</w:t>
      </w:r>
    </w:p>
    <w:bookmarkEnd w:id="174"/>
    <w:bookmarkStart w:name="z207" w:id="175"/>
    <w:p>
      <w:pPr>
        <w:spacing w:after="0"/>
        <w:ind w:left="0"/>
        <w:jc w:val="both"/>
      </w:pPr>
      <w:r>
        <w:rPr>
          <w:rFonts w:ascii="Times New Roman"/>
          <w:b w:val="false"/>
          <w:i w:val="false"/>
          <w:color w:val="000000"/>
          <w:sz w:val="28"/>
        </w:rPr>
        <w:t>
      "2) порядка инвестирования активов центрального контрагента;</w:t>
      </w:r>
    </w:p>
    <w:bookmarkEnd w:id="175"/>
    <w:bookmarkStart w:name="z208" w:id="176"/>
    <w:p>
      <w:pPr>
        <w:spacing w:after="0"/>
        <w:ind w:left="0"/>
        <w:jc w:val="both"/>
      </w:pPr>
      <w:r>
        <w:rPr>
          <w:rFonts w:ascii="Times New Roman"/>
          <w:b w:val="false"/>
          <w:i w:val="false"/>
          <w:color w:val="000000"/>
          <w:sz w:val="28"/>
        </w:rPr>
        <w:t>
      3) порядка и условий формирования, а также использования резервного или гарантийного фондов центрального контрагента;";</w:t>
      </w:r>
    </w:p>
    <w:bookmarkEnd w:id="176"/>
    <w:bookmarkStart w:name="z209" w:id="177"/>
    <w:p>
      <w:pPr>
        <w:spacing w:after="0"/>
        <w:ind w:left="0"/>
        <w:jc w:val="both"/>
      </w:pPr>
      <w:r>
        <w:rPr>
          <w:rFonts w:ascii="Times New Roman"/>
          <w:b w:val="false"/>
          <w:i w:val="false"/>
          <w:color w:val="000000"/>
          <w:sz w:val="28"/>
        </w:rPr>
        <w:t>
      подпункты 7) и 8) изложить в следующей редакции:</w:t>
      </w:r>
    </w:p>
    <w:bookmarkEnd w:id="177"/>
    <w:bookmarkStart w:name="z210" w:id="178"/>
    <w:p>
      <w:pPr>
        <w:spacing w:after="0"/>
        <w:ind w:left="0"/>
        <w:jc w:val="both"/>
      </w:pPr>
      <w:r>
        <w:rPr>
          <w:rFonts w:ascii="Times New Roman"/>
          <w:b w:val="false"/>
          <w:i w:val="false"/>
          <w:color w:val="000000"/>
          <w:sz w:val="28"/>
        </w:rPr>
        <w:t>
      "7) условий и порядка мониторинга и контроля клиринговых участников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внутренних документов центрального контрагента и требованиям к финансовому состоянию клиринговых участников;</w:t>
      </w:r>
    </w:p>
    <w:bookmarkEnd w:id="178"/>
    <w:bookmarkStart w:name="z211" w:id="179"/>
    <w:p>
      <w:pPr>
        <w:spacing w:after="0"/>
        <w:ind w:left="0"/>
        <w:jc w:val="both"/>
      </w:pPr>
      <w:r>
        <w:rPr>
          <w:rFonts w:ascii="Times New Roman"/>
          <w:b w:val="false"/>
          <w:i w:val="false"/>
          <w:color w:val="000000"/>
          <w:sz w:val="28"/>
        </w:rPr>
        <w:t>
      8) требований к клиринговым участникам;";</w:t>
      </w:r>
    </w:p>
    <w:bookmarkEnd w:id="179"/>
    <w:bookmarkStart w:name="z212"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180"/>
    <w:bookmarkStart w:name="z213" w:id="181"/>
    <w:p>
      <w:pPr>
        <w:spacing w:after="0"/>
        <w:ind w:left="0"/>
        <w:jc w:val="both"/>
      </w:pPr>
      <w:r>
        <w:rPr>
          <w:rFonts w:ascii="Times New Roman"/>
          <w:b w:val="false"/>
          <w:i w:val="false"/>
          <w:color w:val="000000"/>
          <w:sz w:val="28"/>
        </w:rPr>
        <w:t>
      подпункт 1) изложить в следующей редакции:</w:t>
      </w:r>
    </w:p>
    <w:bookmarkEnd w:id="181"/>
    <w:bookmarkStart w:name="z214" w:id="182"/>
    <w:p>
      <w:pPr>
        <w:spacing w:after="0"/>
        <w:ind w:left="0"/>
        <w:jc w:val="both"/>
      </w:pPr>
      <w:r>
        <w:rPr>
          <w:rFonts w:ascii="Times New Roman"/>
          <w:b w:val="false"/>
          <w:i w:val="false"/>
          <w:color w:val="000000"/>
          <w:sz w:val="28"/>
        </w:rPr>
        <w:t>
      "1) полномочия и функциональные обязанности совета директоров, правления, ответственного подразделения центрального контрагента по управлению рисками и подразделения центрального контрагента по мониторингу и контролю клиринговых участников, а также порядок обмена информацией между данными органами и подразделениями;";</w:t>
      </w:r>
    </w:p>
    <w:bookmarkEnd w:id="182"/>
    <w:bookmarkStart w:name="z215" w:id="183"/>
    <w:p>
      <w:pPr>
        <w:spacing w:after="0"/>
        <w:ind w:left="0"/>
        <w:jc w:val="both"/>
      </w:pPr>
      <w:r>
        <w:rPr>
          <w:rFonts w:ascii="Times New Roman"/>
          <w:b w:val="false"/>
          <w:i w:val="false"/>
          <w:color w:val="000000"/>
          <w:sz w:val="28"/>
        </w:rPr>
        <w:t>
      абзацы пятый и шестой подпункта 7) изложить в следующей редакции:</w:t>
      </w:r>
    </w:p>
    <w:bookmarkEnd w:id="183"/>
    <w:bookmarkStart w:name="z216" w:id="184"/>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ответственность центрального контрагента по сделкам, заключенным клиринговыми участниками в торговой системе фондовой биржи, подразделением, в функции которого входит выявление таких случаев;</w:t>
      </w:r>
    </w:p>
    <w:bookmarkEnd w:id="184"/>
    <w:bookmarkStart w:name="z217" w:id="185"/>
    <w:p>
      <w:pPr>
        <w:spacing w:after="0"/>
        <w:ind w:left="0"/>
        <w:jc w:val="both"/>
      </w:pPr>
      <w:r>
        <w:rPr>
          <w:rFonts w:ascii="Times New Roman"/>
          <w:b w:val="false"/>
          <w:i w:val="false"/>
          <w:color w:val="000000"/>
          <w:sz w:val="28"/>
        </w:rPr>
        <w:t>
      мониторинг рисков, проводимый ответственным подразделением центрального контрагента по мониторингу и контролю клиринговых участников, включающий мониторинг изменения значений показателей рисков клиринговых участников и максимально допустимых значений данных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219" w:id="186"/>
    <w:p>
      <w:pPr>
        <w:spacing w:after="0"/>
        <w:ind w:left="0"/>
        <w:jc w:val="both"/>
      </w:pPr>
      <w:r>
        <w:rPr>
          <w:rFonts w:ascii="Times New Roman"/>
          <w:b w:val="false"/>
          <w:i w:val="false"/>
          <w:color w:val="000000"/>
          <w:sz w:val="28"/>
        </w:rPr>
        <w:t>
      "13. Порядок инвестирования активов центрального контрагента устанавливает условия и порядок осуществления сделок с финансовыми инструментами, типовые формы документов, используемых в процессе осуществления сделок с финансовыми инструментами, и включает описание процедур по:</w:t>
      </w:r>
    </w:p>
    <w:bookmarkEnd w:id="186"/>
    <w:bookmarkStart w:name="z220" w:id="187"/>
    <w:p>
      <w:pPr>
        <w:spacing w:after="0"/>
        <w:ind w:left="0"/>
        <w:jc w:val="both"/>
      </w:pPr>
      <w:r>
        <w:rPr>
          <w:rFonts w:ascii="Times New Roman"/>
          <w:b w:val="false"/>
          <w:i w:val="false"/>
          <w:color w:val="000000"/>
          <w:sz w:val="28"/>
        </w:rPr>
        <w:t>
      1) разработке политики инвестирования активов центрального контрагента;</w:t>
      </w:r>
    </w:p>
    <w:bookmarkEnd w:id="187"/>
    <w:bookmarkStart w:name="z221" w:id="188"/>
    <w:p>
      <w:pPr>
        <w:spacing w:after="0"/>
        <w:ind w:left="0"/>
        <w:jc w:val="both"/>
      </w:pPr>
      <w:r>
        <w:rPr>
          <w:rFonts w:ascii="Times New Roman"/>
          <w:b w:val="false"/>
          <w:i w:val="false"/>
          <w:color w:val="000000"/>
          <w:sz w:val="28"/>
        </w:rPr>
        <w:t>
      2) подготовке рекомендаций для принятия инвестиционных решений в отношении активов центрального контрагента, предусматривающих:</w:t>
      </w:r>
    </w:p>
    <w:bookmarkEnd w:id="188"/>
    <w:bookmarkStart w:name="z222" w:id="189"/>
    <w:p>
      <w:pPr>
        <w:spacing w:after="0"/>
        <w:ind w:left="0"/>
        <w:jc w:val="both"/>
      </w:pPr>
      <w:r>
        <w:rPr>
          <w:rFonts w:ascii="Times New Roman"/>
          <w:b w:val="false"/>
          <w:i w:val="false"/>
          <w:color w:val="000000"/>
          <w:sz w:val="28"/>
        </w:rPr>
        <w:t>
      перечень должностей лиц, уполномоченных на выдачу рекомендаций;</w:t>
      </w:r>
    </w:p>
    <w:bookmarkEnd w:id="189"/>
    <w:bookmarkStart w:name="z223" w:id="190"/>
    <w:p>
      <w:pPr>
        <w:spacing w:after="0"/>
        <w:ind w:left="0"/>
        <w:jc w:val="both"/>
      </w:pPr>
      <w:r>
        <w:rPr>
          <w:rFonts w:ascii="Times New Roman"/>
          <w:b w:val="false"/>
          <w:i w:val="false"/>
          <w:color w:val="000000"/>
          <w:sz w:val="28"/>
        </w:rPr>
        <w:t>
      порядок осуществления анализа состояния инвестиционного портфеля;</w:t>
      </w:r>
    </w:p>
    <w:bookmarkEnd w:id="190"/>
    <w:bookmarkStart w:name="z224" w:id="191"/>
    <w:p>
      <w:pPr>
        <w:spacing w:after="0"/>
        <w:ind w:left="0"/>
        <w:jc w:val="both"/>
      </w:pP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p>
    <w:bookmarkEnd w:id="191"/>
    <w:bookmarkStart w:name="z225" w:id="192"/>
    <w:p>
      <w:pPr>
        <w:spacing w:after="0"/>
        <w:ind w:left="0"/>
        <w:jc w:val="both"/>
      </w:pP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p>
    <w:bookmarkEnd w:id="192"/>
    <w:bookmarkStart w:name="z226" w:id="193"/>
    <w:p>
      <w:pPr>
        <w:spacing w:after="0"/>
        <w:ind w:left="0"/>
        <w:jc w:val="both"/>
      </w:pPr>
      <w:r>
        <w:rPr>
          <w:rFonts w:ascii="Times New Roman"/>
          <w:b w:val="false"/>
          <w:i w:val="false"/>
          <w:color w:val="000000"/>
          <w:sz w:val="28"/>
        </w:rPr>
        <w:t>
      порядок осуществления анализа факторов, существенных для выдачи рекомендаций;</w:t>
      </w:r>
    </w:p>
    <w:bookmarkEnd w:id="193"/>
    <w:bookmarkStart w:name="z227" w:id="194"/>
    <w:p>
      <w:pPr>
        <w:spacing w:after="0"/>
        <w:ind w:left="0"/>
        <w:jc w:val="both"/>
      </w:pPr>
      <w:r>
        <w:rPr>
          <w:rFonts w:ascii="Times New Roman"/>
          <w:b w:val="false"/>
          <w:i w:val="false"/>
          <w:color w:val="000000"/>
          <w:sz w:val="28"/>
        </w:rPr>
        <w:t>
      3) принятию инвестиционных решений в отношении активов центрального контрагента, содержащих описание работы инвестиционного комитета, периодичность проведения и оформления результатов заседаний;</w:t>
      </w:r>
    </w:p>
    <w:bookmarkEnd w:id="194"/>
    <w:bookmarkStart w:name="z228" w:id="195"/>
    <w:p>
      <w:pPr>
        <w:spacing w:after="0"/>
        <w:ind w:left="0"/>
        <w:jc w:val="both"/>
      </w:pPr>
      <w:r>
        <w:rPr>
          <w:rFonts w:ascii="Times New Roman"/>
          <w:b w:val="false"/>
          <w:i w:val="false"/>
          <w:color w:val="000000"/>
          <w:sz w:val="28"/>
        </w:rPr>
        <w:t>
      4) взаимодействию органов и подразделений центрального контрагента в процессе подготовки, принятия и исполнения инвестиционных решений, в том числе в части управления потенциальными конфликтами интересов между осуществлением функций центрального контрагента и инвестирования активов центрального контрагента;</w:t>
      </w:r>
    </w:p>
    <w:bookmarkEnd w:id="195"/>
    <w:bookmarkStart w:name="z229" w:id="196"/>
    <w:p>
      <w:pPr>
        <w:spacing w:after="0"/>
        <w:ind w:left="0"/>
        <w:jc w:val="both"/>
      </w:pPr>
      <w:r>
        <w:rPr>
          <w:rFonts w:ascii="Times New Roman"/>
          <w:b w:val="false"/>
          <w:i w:val="false"/>
          <w:color w:val="000000"/>
          <w:sz w:val="28"/>
        </w:rPr>
        <w:t>
      5) заключению сделок с финансовыми инструментами и осуществлению контроля за их исполнением, содержащих описание процессов по взаимодействию с посредником (брокером), с помощью которого предполагается заключение сделки (при наличии такового), контролю за совершением сделок, осуществлению сверок состава и движения активов, ведению внутреннего учета и документооборота заключенных сделок, а также перечень руководящих работников, осуществляющих контроль за заключением сделок с финансовыми инструментами;</w:t>
      </w:r>
    </w:p>
    <w:bookmarkEnd w:id="196"/>
    <w:bookmarkStart w:name="z230" w:id="197"/>
    <w:p>
      <w:pPr>
        <w:spacing w:after="0"/>
        <w:ind w:left="0"/>
        <w:jc w:val="both"/>
      </w:pPr>
      <w:r>
        <w:rPr>
          <w:rFonts w:ascii="Times New Roman"/>
          <w:b w:val="false"/>
          <w:i w:val="false"/>
          <w:color w:val="000000"/>
          <w:sz w:val="28"/>
        </w:rPr>
        <w:t>
      6) подготовке правлением центрального контрагента отчетности о результатах деятельности по операциям с финансовыми инструментами.</w:t>
      </w:r>
    </w:p>
    <w:bookmarkEnd w:id="197"/>
    <w:bookmarkStart w:name="z231" w:id="198"/>
    <w:p>
      <w:pPr>
        <w:spacing w:after="0"/>
        <w:ind w:left="0"/>
        <w:jc w:val="both"/>
      </w:pPr>
      <w:r>
        <w:rPr>
          <w:rFonts w:ascii="Times New Roman"/>
          <w:b w:val="false"/>
          <w:i w:val="false"/>
          <w:color w:val="000000"/>
          <w:sz w:val="28"/>
        </w:rPr>
        <w:t>
      14. В целях обеспечения заключения сделок с финансовыми инструментами центрального контрагента разрабатывается политика инвестирования активов, включающая, но не ограничивающаяся следующим:</w:t>
      </w:r>
    </w:p>
    <w:bookmarkEnd w:id="198"/>
    <w:bookmarkStart w:name="z232" w:id="199"/>
    <w:p>
      <w:pPr>
        <w:spacing w:after="0"/>
        <w:ind w:left="0"/>
        <w:jc w:val="both"/>
      </w:pPr>
      <w:r>
        <w:rPr>
          <w:rFonts w:ascii="Times New Roman"/>
          <w:b w:val="false"/>
          <w:i w:val="false"/>
          <w:color w:val="000000"/>
          <w:sz w:val="28"/>
        </w:rPr>
        <w:t>
      1) цели и стратегия инвестирования активов;</w:t>
      </w:r>
    </w:p>
    <w:bookmarkEnd w:id="199"/>
    <w:bookmarkStart w:name="z233" w:id="200"/>
    <w:p>
      <w:pPr>
        <w:spacing w:after="0"/>
        <w:ind w:left="0"/>
        <w:jc w:val="both"/>
      </w:pPr>
      <w:r>
        <w:rPr>
          <w:rFonts w:ascii="Times New Roman"/>
          <w:b w:val="false"/>
          <w:i w:val="false"/>
          <w:color w:val="000000"/>
          <w:sz w:val="28"/>
        </w:rPr>
        <w:t>
      2) описание и перечень объектов инвестирования активов;</w:t>
      </w:r>
    </w:p>
    <w:bookmarkEnd w:id="200"/>
    <w:bookmarkStart w:name="z234" w:id="201"/>
    <w:p>
      <w:pPr>
        <w:spacing w:after="0"/>
        <w:ind w:left="0"/>
        <w:jc w:val="both"/>
      </w:pPr>
      <w:r>
        <w:rPr>
          <w:rFonts w:ascii="Times New Roman"/>
          <w:b w:val="false"/>
          <w:i w:val="false"/>
          <w:color w:val="000000"/>
          <w:sz w:val="28"/>
        </w:rPr>
        <w:t>
      3) лимиты инвестирования активов по видам финансовых инструментов;</w:t>
      </w:r>
    </w:p>
    <w:bookmarkEnd w:id="201"/>
    <w:bookmarkStart w:name="z235" w:id="202"/>
    <w:p>
      <w:pPr>
        <w:spacing w:after="0"/>
        <w:ind w:left="0"/>
        <w:jc w:val="both"/>
      </w:pPr>
      <w:r>
        <w:rPr>
          <w:rFonts w:ascii="Times New Roman"/>
          <w:b w:val="false"/>
          <w:i w:val="false"/>
          <w:color w:val="000000"/>
          <w:sz w:val="28"/>
        </w:rPr>
        <w:t>
      4) условия и ограничения, установленные в отношении сделок с финансовыми инструментами;</w:t>
      </w:r>
    </w:p>
    <w:bookmarkEnd w:id="202"/>
    <w:bookmarkStart w:name="z236" w:id="203"/>
    <w:p>
      <w:pPr>
        <w:spacing w:after="0"/>
        <w:ind w:left="0"/>
        <w:jc w:val="both"/>
      </w:pPr>
      <w:r>
        <w:rPr>
          <w:rFonts w:ascii="Times New Roman"/>
          <w:b w:val="false"/>
          <w:i w:val="false"/>
          <w:color w:val="000000"/>
          <w:sz w:val="28"/>
        </w:rPr>
        <w:t>
      5) условия хеджирования и диверсификации активов с указанием перечня и описания инструментов хеджирования;</w:t>
      </w:r>
    </w:p>
    <w:bookmarkEnd w:id="203"/>
    <w:bookmarkStart w:name="z237" w:id="204"/>
    <w:p>
      <w:pPr>
        <w:spacing w:after="0"/>
        <w:ind w:left="0"/>
        <w:jc w:val="both"/>
      </w:pPr>
      <w:r>
        <w:rPr>
          <w:rFonts w:ascii="Times New Roman"/>
          <w:b w:val="false"/>
          <w:i w:val="false"/>
          <w:color w:val="000000"/>
          <w:sz w:val="28"/>
        </w:rPr>
        <w:t>
      6) информацию об основных рисках, связанных с инвестированием активов.</w:t>
      </w:r>
    </w:p>
    <w:bookmarkEnd w:id="204"/>
    <w:bookmarkStart w:name="z238" w:id="205"/>
    <w:p>
      <w:pPr>
        <w:spacing w:after="0"/>
        <w:ind w:left="0"/>
        <w:jc w:val="both"/>
      </w:pPr>
      <w:r>
        <w:rPr>
          <w:rFonts w:ascii="Times New Roman"/>
          <w:b w:val="false"/>
          <w:i w:val="false"/>
          <w:color w:val="000000"/>
          <w:sz w:val="28"/>
        </w:rPr>
        <w:t>
      15. Политика инвестирования активов центрального контрагента и все изменения и дополнения в нее утверждаются советом директоров центрального контрагента.</w:t>
      </w:r>
    </w:p>
    <w:bookmarkEnd w:id="205"/>
    <w:bookmarkStart w:name="z239" w:id="206"/>
    <w:p>
      <w:pPr>
        <w:spacing w:after="0"/>
        <w:ind w:left="0"/>
        <w:jc w:val="both"/>
      </w:pPr>
      <w:r>
        <w:rPr>
          <w:rFonts w:ascii="Times New Roman"/>
          <w:b w:val="false"/>
          <w:i w:val="false"/>
          <w:color w:val="000000"/>
          <w:sz w:val="28"/>
        </w:rPr>
        <w:t>
      16. Порядок и условия формирования, а также использования резервных или гарантийных фондов, маржевых взносов и иного обеспечения клиринговых участников включают:</w:t>
      </w:r>
    </w:p>
    <w:bookmarkEnd w:id="206"/>
    <w:bookmarkStart w:name="z240" w:id="207"/>
    <w:p>
      <w:pPr>
        <w:spacing w:after="0"/>
        <w:ind w:left="0"/>
        <w:jc w:val="both"/>
      </w:pPr>
      <w:r>
        <w:rPr>
          <w:rFonts w:ascii="Times New Roman"/>
          <w:b w:val="false"/>
          <w:i w:val="false"/>
          <w:color w:val="000000"/>
          <w:sz w:val="28"/>
        </w:rPr>
        <w:t>
      1) методику определения и оценки размеров резервных или гарантийных фондов центрального контрагента, маржевых взносов и иного обеспечения клиринговых участников;</w:t>
      </w:r>
    </w:p>
    <w:bookmarkEnd w:id="207"/>
    <w:bookmarkStart w:name="z241" w:id="208"/>
    <w:p>
      <w:pPr>
        <w:spacing w:after="0"/>
        <w:ind w:left="0"/>
        <w:jc w:val="both"/>
      </w:pPr>
      <w:r>
        <w:rPr>
          <w:rFonts w:ascii="Times New Roman"/>
          <w:b w:val="false"/>
          <w:i w:val="false"/>
          <w:color w:val="000000"/>
          <w:sz w:val="28"/>
        </w:rPr>
        <w:t>
      2) порядок и условия уплаты маржевых взносов и иного обеспечения клиринговых участников, взносов клиринговых участников в гарантийный фонд центрального контрагента, формирования резервного фонда центрального контрагента;</w:t>
      </w:r>
    </w:p>
    <w:bookmarkEnd w:id="208"/>
    <w:bookmarkStart w:name="z242" w:id="209"/>
    <w:p>
      <w:pPr>
        <w:spacing w:after="0"/>
        <w:ind w:left="0"/>
        <w:jc w:val="both"/>
      </w:pPr>
      <w:r>
        <w:rPr>
          <w:rFonts w:ascii="Times New Roman"/>
          <w:b w:val="false"/>
          <w:i w:val="false"/>
          <w:color w:val="000000"/>
          <w:sz w:val="28"/>
        </w:rPr>
        <w:t>
      3) порядок и условия осуществления выплат из резервных или гарантийных фондов центрального контрагента;</w:t>
      </w:r>
    </w:p>
    <w:bookmarkEnd w:id="209"/>
    <w:bookmarkStart w:name="z243" w:id="210"/>
    <w:p>
      <w:pPr>
        <w:spacing w:after="0"/>
        <w:ind w:left="0"/>
        <w:jc w:val="both"/>
      </w:pPr>
      <w:r>
        <w:rPr>
          <w:rFonts w:ascii="Times New Roman"/>
          <w:b w:val="false"/>
          <w:i w:val="false"/>
          <w:color w:val="000000"/>
          <w:sz w:val="28"/>
        </w:rPr>
        <w:t>
      4) порядок и условия инвестирования активов резервных или гарантийных фондов центрального контрагента:</w:t>
      </w:r>
    </w:p>
    <w:bookmarkEnd w:id="210"/>
    <w:bookmarkStart w:name="z244" w:id="211"/>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или на банковском счете, открытом в Акционерном обществе "Центральный депозитарий ценных бумаг";</w:t>
      </w:r>
    </w:p>
    <w:bookmarkEnd w:id="211"/>
    <w:bookmarkStart w:name="z245" w:id="212"/>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212"/>
    <w:bookmarkStart w:name="z246" w:id="213"/>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 Poor's или рейтинг аналогичного уровня по международной шкале агентств Fitch или Moody's Investors Service;</w:t>
      </w:r>
    </w:p>
    <w:bookmarkEnd w:id="213"/>
    <w:bookmarkStart w:name="z247" w:id="214"/>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214"/>
    <w:bookmarkStart w:name="z248" w:id="215"/>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международный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215"/>
    <w:bookmarkStart w:name="z249" w:id="216"/>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216"/>
    <w:bookmarkStart w:name="z250" w:id="217"/>
    <w:p>
      <w:pPr>
        <w:spacing w:after="0"/>
        <w:ind w:left="0"/>
        <w:jc w:val="both"/>
      </w:pPr>
      <w:r>
        <w:rPr>
          <w:rFonts w:ascii="Times New Roman"/>
          <w:b w:val="false"/>
          <w:i w:val="false"/>
          <w:color w:val="000000"/>
          <w:sz w:val="28"/>
        </w:rPr>
        <w:t>
      в депозиты в банках второго уровня Республики Казахстан, имеющих долгосрочный рейтинг не ниже "ВB+" по международной шкале агентства Standard &amp; Poor's или рейтинг аналогичного уровня по международной шкале агентств Fitch или Moody's Investors Service;</w:t>
      </w:r>
    </w:p>
    <w:bookmarkEnd w:id="217"/>
    <w:bookmarkStart w:name="z251" w:id="218"/>
    <w:p>
      <w:pPr>
        <w:spacing w:after="0"/>
        <w:ind w:left="0"/>
        <w:jc w:val="both"/>
      </w:pPr>
      <w:r>
        <w:rPr>
          <w:rFonts w:ascii="Times New Roman"/>
          <w:b w:val="false"/>
          <w:i w:val="false"/>
          <w:color w:val="000000"/>
          <w:sz w:val="28"/>
        </w:rPr>
        <w:t>
      в депозиты в банках-нерезидентах,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218"/>
    <w:bookmarkStart w:name="z252" w:id="219"/>
    <w:p>
      <w:pPr>
        <w:spacing w:after="0"/>
        <w:ind w:left="0"/>
        <w:jc w:val="both"/>
      </w:pPr>
      <w:r>
        <w:rPr>
          <w:rFonts w:ascii="Times New Roman"/>
          <w:b w:val="false"/>
          <w:i w:val="false"/>
          <w:color w:val="000000"/>
          <w:sz w:val="28"/>
        </w:rPr>
        <w:t>
      в корпоративные облигации (в том числе купонные международные облигации), имеющие рейтинг не ниже "BВ-" по международной шкале агентства Standard &amp; Poor's или рейтинг аналогичного уровня по международной шкале агентств Fitch или Moody's Investors Service;</w:t>
      </w:r>
    </w:p>
    <w:bookmarkEnd w:id="219"/>
    <w:bookmarkStart w:name="z253" w:id="220"/>
    <w:p>
      <w:pPr>
        <w:spacing w:after="0"/>
        <w:ind w:left="0"/>
        <w:jc w:val="both"/>
      </w:pPr>
      <w:r>
        <w:rPr>
          <w:rFonts w:ascii="Times New Roman"/>
          <w:b w:val="false"/>
          <w:i w:val="false"/>
          <w:color w:val="000000"/>
          <w:sz w:val="28"/>
        </w:rPr>
        <w:t>
      в квазигосударственные долговые ценные бумаги резидентов Республики Казахстан, имеющих долгосрочный международный рейтинг не ниже "ВВ+" по международной шкале агентства Standard &amp; Poor's или рейтинг аналогичного уровня по международной шкале агентств Fitch или Moody's Investors Service;</w:t>
      </w:r>
    </w:p>
    <w:bookmarkEnd w:id="220"/>
    <w:bookmarkStart w:name="z254" w:id="221"/>
    <w:p>
      <w:pPr>
        <w:spacing w:after="0"/>
        <w:ind w:left="0"/>
        <w:jc w:val="both"/>
      </w:pPr>
      <w:r>
        <w:rPr>
          <w:rFonts w:ascii="Times New Roman"/>
          <w:b w:val="false"/>
          <w:i w:val="false"/>
          <w:color w:val="000000"/>
          <w:sz w:val="28"/>
        </w:rPr>
        <w:t>
      5) порядок и условия инвестирования денег, внесенных в уплату маржевых взносов и (или) в качестве иного обеспечения:</w:t>
      </w:r>
    </w:p>
    <w:bookmarkEnd w:id="221"/>
    <w:bookmarkStart w:name="z255" w:id="222"/>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или на банковском счете, открытом в Акционерном обществе "Центральный депозитарий ценных бумаг";</w:t>
      </w:r>
    </w:p>
    <w:bookmarkEnd w:id="222"/>
    <w:bookmarkStart w:name="z256" w:id="223"/>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223"/>
    <w:bookmarkStart w:name="z257" w:id="224"/>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 Poor's или рейтинг аналогичного уровня по международной шкале агентств Fitch или Moody's Investors Service;</w:t>
      </w:r>
    </w:p>
    <w:bookmarkEnd w:id="224"/>
    <w:bookmarkStart w:name="z258" w:id="225"/>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225"/>
    <w:bookmarkStart w:name="z259" w:id="226"/>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международный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226"/>
    <w:bookmarkStart w:name="z260" w:id="227"/>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227"/>
    <w:bookmarkStart w:name="z261" w:id="228"/>
    <w:p>
      <w:pPr>
        <w:spacing w:after="0"/>
        <w:ind w:left="0"/>
        <w:jc w:val="both"/>
      </w:pPr>
      <w:r>
        <w:rPr>
          <w:rFonts w:ascii="Times New Roman"/>
          <w:b w:val="false"/>
          <w:i w:val="false"/>
          <w:color w:val="000000"/>
          <w:sz w:val="28"/>
        </w:rPr>
        <w:t>
      в депозиты в банках-нерезидентах Республики Казахстан,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228"/>
    <w:bookmarkStart w:name="z262" w:id="229"/>
    <w:p>
      <w:pPr>
        <w:spacing w:after="0"/>
        <w:ind w:left="0"/>
        <w:jc w:val="both"/>
      </w:pPr>
      <w:r>
        <w:rPr>
          <w:rFonts w:ascii="Times New Roman"/>
          <w:b w:val="false"/>
          <w:i w:val="false"/>
          <w:color w:val="000000"/>
          <w:sz w:val="28"/>
        </w:rPr>
        <w:t>
      17. Требования к организации деятельности по осуществлению сделок с финансовыми инструментами, устанавливаются законодательством Республики Казахстан о рынке ценных бумаг, регулирующим деятельность лиц, которые осуществляют функции центрального контрагента.</w:t>
      </w:r>
    </w:p>
    <w:bookmarkEnd w:id="229"/>
    <w:bookmarkStart w:name="z263" w:id="230"/>
    <w:p>
      <w:pPr>
        <w:spacing w:after="0"/>
        <w:ind w:left="0"/>
        <w:jc w:val="both"/>
      </w:pPr>
      <w:r>
        <w:rPr>
          <w:rFonts w:ascii="Times New Roman"/>
          <w:b w:val="false"/>
          <w:i w:val="false"/>
          <w:color w:val="000000"/>
          <w:sz w:val="28"/>
        </w:rPr>
        <w:t xml:space="preserve">
      18. Суммарный размер клиринговых (гарантийных и резервных) фондов клиринговой организации, формируемых центральным контрагентом по каждому рынку, определяется центральным контрагентом исходя из необходимости поддержания их размеров на уровне не ниже размера потенциальных убытков центрального контрагента в случае неисполнения обязательств двумя участниками клиринга с наибольшим объемом указанных обязательств. </w:t>
      </w:r>
    </w:p>
    <w:bookmarkEnd w:id="230"/>
    <w:bookmarkStart w:name="z264" w:id="231"/>
    <w:p>
      <w:pPr>
        <w:spacing w:after="0"/>
        <w:ind w:left="0"/>
        <w:jc w:val="both"/>
      </w:pPr>
      <w:r>
        <w:rPr>
          <w:rFonts w:ascii="Times New Roman"/>
          <w:b w:val="false"/>
          <w:i w:val="false"/>
          <w:color w:val="000000"/>
          <w:sz w:val="28"/>
        </w:rPr>
        <w:t>
      Центральный контрагент размещает деньги, составляющие клиринговые (гарантийные или резервные) фонды, маржевые взносы и деньги клиринговых участников в соответствии с внутренними документами центрального контрагента.</w:t>
      </w:r>
    </w:p>
    <w:bookmarkEnd w:id="231"/>
    <w:bookmarkStart w:name="z265" w:id="232"/>
    <w:p>
      <w:pPr>
        <w:spacing w:after="0"/>
        <w:ind w:left="0"/>
        <w:jc w:val="both"/>
      </w:pPr>
      <w:r>
        <w:rPr>
          <w:rFonts w:ascii="Times New Roman"/>
          <w:b w:val="false"/>
          <w:i w:val="false"/>
          <w:color w:val="000000"/>
          <w:sz w:val="28"/>
        </w:rPr>
        <w:t>
      Центральный контрагент оценивает позиции участников по текущей рыночной стоимости и взимает маржевое обеспечение с клиринговых участников не реже одного раза в день, чтобы ограничить накопление текущих рисков.</w:t>
      </w:r>
    </w:p>
    <w:bookmarkEnd w:id="232"/>
    <w:bookmarkStart w:name="z266" w:id="233"/>
    <w:p>
      <w:pPr>
        <w:spacing w:after="0"/>
        <w:ind w:left="0"/>
        <w:jc w:val="both"/>
      </w:pPr>
      <w:r>
        <w:rPr>
          <w:rFonts w:ascii="Times New Roman"/>
          <w:b w:val="false"/>
          <w:i w:val="false"/>
          <w:color w:val="000000"/>
          <w:sz w:val="28"/>
        </w:rPr>
        <w:t>
      Требования клиринговой организации к размеру обеспечения клиринговых участников определяется с допущением вероятности, соответствующей уровню надежности, не менее девяноста девяти процентов.";</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68" w:id="234"/>
    <w:p>
      <w:pPr>
        <w:spacing w:after="0"/>
        <w:ind w:left="0"/>
        <w:jc w:val="both"/>
      </w:pPr>
      <w:r>
        <w:rPr>
          <w:rFonts w:ascii="Times New Roman"/>
          <w:b w:val="false"/>
          <w:i w:val="false"/>
          <w:color w:val="000000"/>
          <w:sz w:val="28"/>
        </w:rPr>
        <w:t>
      "22. Условия и порядок мониторинга и контроля клиринговых участников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требованиям к финансовому состоянию клиринговых участников, включают:</w:t>
      </w:r>
    </w:p>
    <w:bookmarkEnd w:id="234"/>
    <w:bookmarkStart w:name="z269" w:id="235"/>
    <w:p>
      <w:pPr>
        <w:spacing w:after="0"/>
        <w:ind w:left="0"/>
        <w:jc w:val="both"/>
      </w:pPr>
      <w:r>
        <w:rPr>
          <w:rFonts w:ascii="Times New Roman"/>
          <w:b w:val="false"/>
          <w:i w:val="false"/>
          <w:color w:val="000000"/>
          <w:sz w:val="28"/>
        </w:rPr>
        <w:t>
      1) перечень отчетов клиринговых участников и иной информации, необходимых для мониторинга их финансового состояния;</w:t>
      </w:r>
    </w:p>
    <w:bookmarkEnd w:id="235"/>
    <w:bookmarkStart w:name="z270" w:id="236"/>
    <w:p>
      <w:pPr>
        <w:spacing w:after="0"/>
        <w:ind w:left="0"/>
        <w:jc w:val="both"/>
      </w:pPr>
      <w:r>
        <w:rPr>
          <w:rFonts w:ascii="Times New Roman"/>
          <w:b w:val="false"/>
          <w:i w:val="false"/>
          <w:color w:val="000000"/>
          <w:sz w:val="28"/>
        </w:rPr>
        <w:t>
      2) условия и сроки предоставления отчетов и иной информации, указанных в подпункте 1) настоящего пункта;</w:t>
      </w:r>
    </w:p>
    <w:bookmarkEnd w:id="236"/>
    <w:bookmarkStart w:name="z271" w:id="237"/>
    <w:p>
      <w:pPr>
        <w:spacing w:after="0"/>
        <w:ind w:left="0"/>
        <w:jc w:val="both"/>
      </w:pPr>
      <w:r>
        <w:rPr>
          <w:rFonts w:ascii="Times New Roman"/>
          <w:b w:val="false"/>
          <w:i w:val="false"/>
          <w:color w:val="000000"/>
          <w:sz w:val="28"/>
        </w:rPr>
        <w:t>
      3) порядок и сроки рассмотрения центральным контрагентом отчетов и иной информации, указанных в подпункте 1) настоящего пункта;</w:t>
      </w:r>
    </w:p>
    <w:bookmarkEnd w:id="237"/>
    <w:bookmarkStart w:name="z272" w:id="238"/>
    <w:p>
      <w:pPr>
        <w:spacing w:after="0"/>
        <w:ind w:left="0"/>
        <w:jc w:val="both"/>
      </w:pPr>
      <w:r>
        <w:rPr>
          <w:rFonts w:ascii="Times New Roman"/>
          <w:b w:val="false"/>
          <w:i w:val="false"/>
          <w:color w:val="000000"/>
          <w:sz w:val="28"/>
        </w:rPr>
        <w:t>
      4) методику оценки финансового состояния клиринговых участников;</w:t>
      </w:r>
    </w:p>
    <w:bookmarkEnd w:id="238"/>
    <w:bookmarkStart w:name="z273" w:id="239"/>
    <w:p>
      <w:pPr>
        <w:spacing w:after="0"/>
        <w:ind w:left="0"/>
        <w:jc w:val="both"/>
      </w:pPr>
      <w:r>
        <w:rPr>
          <w:rFonts w:ascii="Times New Roman"/>
          <w:b w:val="false"/>
          <w:i w:val="false"/>
          <w:color w:val="000000"/>
          <w:sz w:val="28"/>
        </w:rPr>
        <w:t>
      5) порядок и сроки составления и представления сводных отчетов о финансовом состоянии клиринговых участников руководящим работникам и подразделениям центрального контрагента;</w:t>
      </w:r>
    </w:p>
    <w:bookmarkEnd w:id="239"/>
    <w:bookmarkStart w:name="z274" w:id="240"/>
    <w:p>
      <w:pPr>
        <w:spacing w:after="0"/>
        <w:ind w:left="0"/>
        <w:jc w:val="both"/>
      </w:pPr>
      <w:r>
        <w:rPr>
          <w:rFonts w:ascii="Times New Roman"/>
          <w:b w:val="false"/>
          <w:i w:val="false"/>
          <w:color w:val="000000"/>
          <w:sz w:val="28"/>
        </w:rPr>
        <w:t>
      6) порядок и условия применения мер в отношении клирингового участника, не соответствующего требованиям, установленным к финансовому состоянию клиринговых участников;</w:t>
      </w:r>
    </w:p>
    <w:bookmarkEnd w:id="240"/>
    <w:bookmarkStart w:name="z275" w:id="241"/>
    <w:p>
      <w:pPr>
        <w:spacing w:after="0"/>
        <w:ind w:left="0"/>
        <w:jc w:val="both"/>
      </w:pPr>
      <w:r>
        <w:rPr>
          <w:rFonts w:ascii="Times New Roman"/>
          <w:b w:val="false"/>
          <w:i w:val="false"/>
          <w:color w:val="000000"/>
          <w:sz w:val="28"/>
        </w:rPr>
        <w:t>
      7) годовой план мониторинга клиринговых участников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центрального контрагента;</w:t>
      </w:r>
    </w:p>
    <w:bookmarkEnd w:id="241"/>
    <w:bookmarkStart w:name="z276" w:id="242"/>
    <w:p>
      <w:pPr>
        <w:spacing w:after="0"/>
        <w:ind w:left="0"/>
        <w:jc w:val="both"/>
      </w:pPr>
      <w:r>
        <w:rPr>
          <w:rFonts w:ascii="Times New Roman"/>
          <w:b w:val="false"/>
          <w:i w:val="false"/>
          <w:color w:val="000000"/>
          <w:sz w:val="28"/>
        </w:rPr>
        <w:t>
      8) порядок и условия проведения проверки клиринговых участников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центрального контрагента;</w:t>
      </w:r>
    </w:p>
    <w:bookmarkEnd w:id="242"/>
    <w:bookmarkStart w:name="z277" w:id="243"/>
    <w:p>
      <w:pPr>
        <w:spacing w:after="0"/>
        <w:ind w:left="0"/>
        <w:jc w:val="both"/>
      </w:pPr>
      <w:r>
        <w:rPr>
          <w:rFonts w:ascii="Times New Roman"/>
          <w:b w:val="false"/>
          <w:i w:val="false"/>
          <w:color w:val="000000"/>
          <w:sz w:val="28"/>
        </w:rPr>
        <w:t>
      9) методику оценки соответствия клиринговых участников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центрального контрагента;</w:t>
      </w:r>
    </w:p>
    <w:bookmarkEnd w:id="243"/>
    <w:bookmarkStart w:name="z278" w:id="244"/>
    <w:p>
      <w:pPr>
        <w:spacing w:after="0"/>
        <w:ind w:left="0"/>
        <w:jc w:val="both"/>
      </w:pPr>
      <w:r>
        <w:rPr>
          <w:rFonts w:ascii="Times New Roman"/>
          <w:b w:val="false"/>
          <w:i w:val="false"/>
          <w:color w:val="000000"/>
          <w:sz w:val="28"/>
        </w:rPr>
        <w:t>
      10) порядок и сроки оформления результатов проверки клиринговых участников и представления данной информации руководящим работникам и подразделениям центрального контрагента;</w:t>
      </w:r>
    </w:p>
    <w:bookmarkEnd w:id="244"/>
    <w:bookmarkStart w:name="z279" w:id="245"/>
    <w:p>
      <w:pPr>
        <w:spacing w:after="0"/>
        <w:ind w:left="0"/>
        <w:jc w:val="both"/>
      </w:pPr>
      <w:r>
        <w:rPr>
          <w:rFonts w:ascii="Times New Roman"/>
          <w:b w:val="false"/>
          <w:i w:val="false"/>
          <w:color w:val="000000"/>
          <w:sz w:val="28"/>
        </w:rPr>
        <w:t>
      11) порядок и условия применения мер в отношении клирингового участника, не соответствующего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центрального контрагента.";</w:t>
      </w:r>
    </w:p>
    <w:bookmarkEnd w:id="245"/>
    <w:bookmarkStart w:name="z280" w:id="24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246"/>
    <w:bookmarkStart w:name="z281" w:id="247"/>
    <w:p>
      <w:pPr>
        <w:spacing w:after="0"/>
        <w:ind w:left="0"/>
        <w:jc w:val="both"/>
      </w:pPr>
      <w:r>
        <w:rPr>
          <w:rFonts w:ascii="Times New Roman"/>
          <w:b w:val="false"/>
          <w:i w:val="false"/>
          <w:color w:val="000000"/>
          <w:sz w:val="28"/>
        </w:rPr>
        <w:t>
      "23. Требования к клиринговым участникам включают требования к:";</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83" w:id="248"/>
    <w:p>
      <w:pPr>
        <w:spacing w:after="0"/>
        <w:ind w:left="0"/>
        <w:jc w:val="both"/>
      </w:pPr>
      <w:r>
        <w:rPr>
          <w:rFonts w:ascii="Times New Roman"/>
          <w:b w:val="false"/>
          <w:i w:val="false"/>
          <w:color w:val="000000"/>
          <w:sz w:val="28"/>
        </w:rPr>
        <w:t>
      "28. Организационная структура центрального контрагента включает в себя подразделение, основной функцией которого является мониторинг и контроль клиринговых участников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и внутренних документов центрального контрагента.";</w:t>
      </w:r>
    </w:p>
    <w:bookmarkEnd w:id="248"/>
    <w:bookmarkStart w:name="z284" w:id="24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249"/>
    <w:bookmarkStart w:name="z285" w:id="250"/>
    <w:p>
      <w:pPr>
        <w:spacing w:after="0"/>
        <w:ind w:left="0"/>
        <w:jc w:val="both"/>
      </w:pPr>
      <w:r>
        <w:rPr>
          <w:rFonts w:ascii="Times New Roman"/>
          <w:b w:val="false"/>
          <w:i w:val="false"/>
          <w:color w:val="000000"/>
          <w:sz w:val="28"/>
        </w:rPr>
        <w:t>
      "31. Подразделение, осуществляющее управление рисками, совместно с подразделением, осуществляющим мониторинг и контроль клиринговых участников, и подразделением правового обеспечения (юридическим подразделением) центрального контрагента обеспечивают регулирование правовых рисков, возникающих вследствие нарушения центральным контрагентом требований законодательства Республики Казахстан о рынке ценных бумаг, в том числе несоответствия внутренних документов центрального контрагента требованиям нормативных правовых актов Республики Казахстан, несоответствия практики деятельности центрального контрагента ее внутренним документам, путем:";</w:t>
      </w:r>
    </w:p>
    <w:bookmarkEnd w:id="250"/>
    <w:bookmarkStart w:name="z286" w:id="251"/>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251"/>
    <w:bookmarkStart w:name="z287" w:id="252"/>
    <w:p>
      <w:pPr>
        <w:spacing w:after="0"/>
        <w:ind w:left="0"/>
        <w:jc w:val="both"/>
      </w:pPr>
      <w:r>
        <w:rPr>
          <w:rFonts w:ascii="Times New Roman"/>
          <w:b w:val="false"/>
          <w:i w:val="false"/>
          <w:color w:val="000000"/>
          <w:sz w:val="28"/>
        </w:rPr>
        <w:t>
      "5) формированию дополнительных гарантийных или резервных фондов центрального контрагента в случаях, предусмотренных внутренними документами центрального контрагента.";</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89" w:id="253"/>
    <w:p>
      <w:pPr>
        <w:spacing w:after="0"/>
        <w:ind w:left="0"/>
        <w:jc w:val="both"/>
      </w:pPr>
      <w:r>
        <w:rPr>
          <w:rFonts w:ascii="Times New Roman"/>
          <w:b w:val="false"/>
          <w:i w:val="false"/>
          <w:color w:val="000000"/>
          <w:sz w:val="28"/>
        </w:rPr>
        <w:t>
      "47. Требования к организации деятельности по осуществлению сделок с финансовыми инструментами за счет активов центрального контрагента устанавливаются внутренними документами центрального контрагента, определяющими порядок инвестирования активов центрального контрагента.";</w:t>
      </w:r>
    </w:p>
    <w:bookmarkEnd w:id="253"/>
    <w:bookmarkStart w:name="z290" w:id="254"/>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254"/>
    <w:bookmarkStart w:name="z291" w:id="255"/>
    <w:p>
      <w:pPr>
        <w:spacing w:after="0"/>
        <w:ind w:left="0"/>
        <w:jc w:val="both"/>
      </w:pPr>
      <w:r>
        <w:rPr>
          <w:rFonts w:ascii="Times New Roman"/>
          <w:b w:val="false"/>
          <w:i w:val="false"/>
          <w:color w:val="000000"/>
          <w:sz w:val="28"/>
        </w:rPr>
        <w:t>
      "9) проверка эффективности надзорных процедур в отношении центрального контрагента;".</w:t>
      </w:r>
    </w:p>
    <w:bookmarkEnd w:id="255"/>
    <w:bookmarkStart w:name="z292" w:id="25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2018 года № 165 "О внесении изменений и дополнений в некоторые нормативные правовые акты Республики Казахстан по вопросам деятельности организатора торгов" (зарегистрировано в Реестре государственной регистрации нормативных правовых актов под № 17337, опубликовано 6 сентября 2018 года в Эталонном контрольном банке нормативных правовых актов Республики Казахстан) следующее изменение:</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94" w:id="257"/>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тридцать восьмого и тридцать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января 2019 года, абзацев третьего, четвертого, пятого, шестого,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сорокового, сорок первого,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и семьдесят второго пункта 1 настоящего постановления, которые вводятся в действие с 1 июля 2019 года.".</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