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3e98" w14:textId="3663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января 2016 года № 23 "Об утверждении Правил дилерской деятельности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июня 2018 года № 133. Зарегистрировано в Министерстве юстиции Республики Казахстан 30 июля 2018 года № 17243. Утратило силу постановлением Правления Национального Банка Республики Казахстан от 19 ноября 2019 года № 196.</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19.11.2019 </w:t>
      </w:r>
      <w:r>
        <w:rPr>
          <w:rFonts w:ascii="Times New Roman"/>
          <w:b w:val="false"/>
          <w:i w:val="false"/>
          <w:color w:val="ff0000"/>
          <w:sz w:val="28"/>
        </w:rPr>
        <w:t>№ 196</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дальнейшего совершенствования порядка осуществления дилерской деятельности Национального Банка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23 "Об утверждении Правил дилерской деятельности Национального Банка Республики Казахстан" (зарегистрировано в Реестре государственной регистрации нормативных правовых актов под № 13223, опубликовано 5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дилерской деятельности Национального Банка Республики Казахстан,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"22) системы Bloomberg, Reuters FX Trading, биржевые терминалы KASE, NEXT – комплексы специализированных программных обеспечений и оборудований, посредством которых осуществляется связь между их пользователями для целей заключения сделок;";</w:t>
      </w:r>
    </w:p>
    <w:bookmarkEnd w:id="4"/>
    <w:bookmarkStart w:name="z10" w:id="5"/>
    <w:p>
      <w:pPr>
        <w:spacing w:after="0"/>
        <w:ind w:left="0"/>
        <w:jc w:val="both"/>
      </w:pPr>
      <w:r>
        <w:rPr>
          <w:rFonts w:ascii="Times New Roman"/>
          <w:b w:val="false"/>
          <w:i w:val="false"/>
          <w:color w:val="000000"/>
          <w:sz w:val="28"/>
        </w:rPr>
        <w:t>
      дополнить подпунктом 23-1) следующего содержания:</w:t>
      </w:r>
    </w:p>
    <w:bookmarkEnd w:id="5"/>
    <w:bookmarkStart w:name="z11" w:id="6"/>
    <w:p>
      <w:pPr>
        <w:spacing w:after="0"/>
        <w:ind w:left="0"/>
        <w:jc w:val="both"/>
      </w:pPr>
      <w:r>
        <w:rPr>
          <w:rFonts w:ascii="Times New Roman"/>
          <w:b w:val="false"/>
          <w:i w:val="false"/>
          <w:color w:val="000000"/>
          <w:sz w:val="28"/>
        </w:rPr>
        <w:t>
      "23-1) система обмена электронными документами eTransfer.kz – специализированная система электронного документооборота между фондовой биржей и ее членами, предусматривающая криптографические средства защиты передаваемых данных и обеспечивающая их гарантированную доставку;";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13" w:id="7"/>
    <w:p>
      <w:pPr>
        <w:spacing w:after="0"/>
        <w:ind w:left="0"/>
        <w:jc w:val="both"/>
      </w:pPr>
      <w:r>
        <w:rPr>
          <w:rFonts w:ascii="Times New Roman"/>
          <w:b w:val="false"/>
          <w:i w:val="false"/>
          <w:color w:val="000000"/>
          <w:sz w:val="28"/>
        </w:rPr>
        <w:t>
      "6. Для заключения сделок с финансовыми инструментами между Национальным Банком и контрпартнером заключается договор присоединения к заключению сделок с финансовыми инструментами (далее – Договор присоединения) или соглашение о заключении сделок (далее – Соглашение о сделках) и (или) соглашение о приеме депозитов (банковских вкладов) и об открытии и ведении сберегательного счета (далее – Соглашение о приеме депозитов) с представлением в Национальный Банк потенциальным контрпартнером документов, предусмотренных пунктом 8 Правил.</w:t>
      </w:r>
    </w:p>
    <w:bookmarkEnd w:id="7"/>
    <w:bookmarkStart w:name="z14" w:id="8"/>
    <w:p>
      <w:pPr>
        <w:spacing w:after="0"/>
        <w:ind w:left="0"/>
        <w:jc w:val="both"/>
      </w:pPr>
      <w:r>
        <w:rPr>
          <w:rFonts w:ascii="Times New Roman"/>
          <w:b w:val="false"/>
          <w:i w:val="false"/>
          <w:color w:val="000000"/>
          <w:sz w:val="28"/>
        </w:rPr>
        <w:t>
      Подразделением, ответственным за заключение:</w:t>
      </w:r>
    </w:p>
    <w:bookmarkEnd w:id="8"/>
    <w:bookmarkStart w:name="z15" w:id="9"/>
    <w:p>
      <w:pPr>
        <w:spacing w:after="0"/>
        <w:ind w:left="0"/>
        <w:jc w:val="both"/>
      </w:pPr>
      <w:r>
        <w:rPr>
          <w:rFonts w:ascii="Times New Roman"/>
          <w:b w:val="false"/>
          <w:i w:val="false"/>
          <w:color w:val="000000"/>
          <w:sz w:val="28"/>
        </w:rPr>
        <w:t>
      1) Договора присоединения и Соглашения о сделках является торговое подразделение;</w:t>
      </w:r>
    </w:p>
    <w:bookmarkEnd w:id="9"/>
    <w:bookmarkStart w:name="z16" w:id="10"/>
    <w:p>
      <w:pPr>
        <w:spacing w:after="0"/>
        <w:ind w:left="0"/>
        <w:jc w:val="both"/>
      </w:pPr>
      <w:r>
        <w:rPr>
          <w:rFonts w:ascii="Times New Roman"/>
          <w:b w:val="false"/>
          <w:i w:val="false"/>
          <w:color w:val="000000"/>
          <w:sz w:val="28"/>
        </w:rPr>
        <w:t>
      2) Соглашения о приеме депозитов является расчетное подразделение.";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"8. Для заключения Договора присоединения и (или) Соглашения о приеме депозитов потенциальный контрпартнер, являющийся резидентом Республики Казахстан (за исключением исламских банков), представляет в Национальный Банк следующие документы:</w:t>
      </w:r>
    </w:p>
    <w:bookmarkEnd w:id="11"/>
    <w:bookmarkStart w:name="z20" w:id="12"/>
    <w:p>
      <w:pPr>
        <w:spacing w:after="0"/>
        <w:ind w:left="0"/>
        <w:jc w:val="both"/>
      </w:pPr>
      <w:r>
        <w:rPr>
          <w:rFonts w:ascii="Times New Roman"/>
          <w:b w:val="false"/>
          <w:i w:val="false"/>
          <w:color w:val="000000"/>
          <w:sz w:val="28"/>
        </w:rPr>
        <w:t>
      1) заявление на присоединение к Договору присоединения с указанием сведения о наличии лицензии на осуществление профессиональной деятельности на рынке ценных бумаг, выданной уполномоченным государственным органом, (в случае заключения сделок с ценными бумагами в соответствии с Договором присоединения) в электронном виде через финансовую автоматизированную систему транспорта информации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либо на бумажном носителе, подписанное уполномоченным лицом потенциального контрпартнера, и (или) ходатайство на имя руководства Национального Банка на заключение Соглашения о приеме депозитов;</w:t>
      </w:r>
    </w:p>
    <w:bookmarkEnd w:id="12"/>
    <w:bookmarkStart w:name="z21" w:id="13"/>
    <w:p>
      <w:pPr>
        <w:spacing w:after="0"/>
        <w:ind w:left="0"/>
        <w:jc w:val="both"/>
      </w:pPr>
      <w:r>
        <w:rPr>
          <w:rFonts w:ascii="Times New Roman"/>
          <w:b w:val="false"/>
          <w:i w:val="false"/>
          <w:color w:val="000000"/>
          <w:sz w:val="28"/>
        </w:rPr>
        <w:t>
      2) список уполномоченных на совершение сделок с финансовыми инструментами работников контрпартнера, утвержденный контрпартнером;</w:t>
      </w:r>
    </w:p>
    <w:bookmarkEnd w:id="13"/>
    <w:bookmarkStart w:name="z22" w:id="14"/>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либо копию свидетельства о государственной регистрации (перерегистрации) клиента-юридического лица;</w:t>
      </w:r>
    </w:p>
    <w:bookmarkEnd w:id="14"/>
    <w:bookmarkStart w:name="z23" w:id="15"/>
    <w:p>
      <w:pPr>
        <w:spacing w:after="0"/>
        <w:ind w:left="0"/>
        <w:jc w:val="both"/>
      </w:pPr>
      <w:r>
        <w:rPr>
          <w:rFonts w:ascii="Times New Roman"/>
          <w:b w:val="false"/>
          <w:i w:val="false"/>
          <w:color w:val="000000"/>
          <w:sz w:val="28"/>
        </w:rPr>
        <w:t>
      4) устав либо его нотариально засвидетельствованную копию, а в случае если контрпартнер осуществляет свою деятельность на основании типового устава – документ, подтверждающий факт осуществления деятельности на основании типового устава;</w:t>
      </w:r>
    </w:p>
    <w:bookmarkEnd w:id="15"/>
    <w:bookmarkStart w:name="z24" w:id="16"/>
    <w:p>
      <w:pPr>
        <w:spacing w:after="0"/>
        <w:ind w:left="0"/>
        <w:jc w:val="both"/>
      </w:pPr>
      <w:r>
        <w:rPr>
          <w:rFonts w:ascii="Times New Roman"/>
          <w:b w:val="false"/>
          <w:i w:val="false"/>
          <w:color w:val="000000"/>
          <w:sz w:val="28"/>
        </w:rPr>
        <w:t>
      5) нотариально удостоверенный документ с образцами подписей работников контрпартнера, уполномоченных на подписание паспорта сделки.</w:t>
      </w:r>
    </w:p>
    <w:bookmarkEnd w:id="16"/>
    <w:bookmarkStart w:name="z25" w:id="17"/>
    <w:p>
      <w:pPr>
        <w:spacing w:after="0"/>
        <w:ind w:left="0"/>
        <w:jc w:val="both"/>
      </w:pPr>
      <w:r>
        <w:rPr>
          <w:rFonts w:ascii="Times New Roman"/>
          <w:b w:val="false"/>
          <w:i w:val="false"/>
          <w:color w:val="000000"/>
          <w:sz w:val="28"/>
        </w:rPr>
        <w:t xml:space="preserve">
      Для заключения Соглашения о сделках и (или) Соглашения о приеме депозитов потенциальный контрпартнер, являющийся исламским банком, представляет в Национальный Банк следующие документы: </w:t>
      </w:r>
    </w:p>
    <w:bookmarkEnd w:id="17"/>
    <w:bookmarkStart w:name="z26" w:id="18"/>
    <w:p>
      <w:pPr>
        <w:spacing w:after="0"/>
        <w:ind w:left="0"/>
        <w:jc w:val="both"/>
      </w:pPr>
      <w:r>
        <w:rPr>
          <w:rFonts w:ascii="Times New Roman"/>
          <w:b w:val="false"/>
          <w:i w:val="false"/>
          <w:color w:val="000000"/>
          <w:sz w:val="28"/>
        </w:rPr>
        <w:t>
      1) ходатайство на имя руководства Национального Банка на заключение Соглашения о сделках с указанием сведения о наличии лицензии на осуществление профессиональной деятельности на рынке ценных бумаг, выданной уполномоченным государственным органом, (в случае заключения сделок с ценными бумагами в соответствии с Соглашением о сделках) и (или) Соглашения о приеме депозитов;</w:t>
      </w:r>
    </w:p>
    <w:bookmarkEnd w:id="18"/>
    <w:bookmarkStart w:name="z27" w:id="19"/>
    <w:p>
      <w:pPr>
        <w:spacing w:after="0"/>
        <w:ind w:left="0"/>
        <w:jc w:val="both"/>
      </w:pPr>
      <w:r>
        <w:rPr>
          <w:rFonts w:ascii="Times New Roman"/>
          <w:b w:val="false"/>
          <w:i w:val="false"/>
          <w:color w:val="000000"/>
          <w:sz w:val="28"/>
        </w:rPr>
        <w:t>
      2) список уполномоченных на совершение сделок с финансовыми инструментами работников контрпартнера, утвержденный контрпартнером;</w:t>
      </w:r>
    </w:p>
    <w:bookmarkEnd w:id="19"/>
    <w:bookmarkStart w:name="z28" w:id="20"/>
    <w:p>
      <w:pPr>
        <w:spacing w:after="0"/>
        <w:ind w:left="0"/>
        <w:jc w:val="both"/>
      </w:pPr>
      <w:r>
        <w:rPr>
          <w:rFonts w:ascii="Times New Roman"/>
          <w:b w:val="false"/>
          <w:i w:val="false"/>
          <w:color w:val="000000"/>
          <w:sz w:val="28"/>
        </w:rPr>
        <w:t>
      3) справку о государственной регистрации (перерегистрации) юридического лица либо копию свидетельства о государственной регистрации (перерегистрации) клиента-юридического лица;</w:t>
      </w:r>
    </w:p>
    <w:bookmarkEnd w:id="20"/>
    <w:bookmarkStart w:name="z29" w:id="21"/>
    <w:p>
      <w:pPr>
        <w:spacing w:after="0"/>
        <w:ind w:left="0"/>
        <w:jc w:val="both"/>
      </w:pPr>
      <w:r>
        <w:rPr>
          <w:rFonts w:ascii="Times New Roman"/>
          <w:b w:val="false"/>
          <w:i w:val="false"/>
          <w:color w:val="000000"/>
          <w:sz w:val="28"/>
        </w:rPr>
        <w:t>
      4) устав либо его нотариально засвидетельствованную копию, а в случае если контрпартнер осуществляет свою деятельность на основании типового устава – документ, подтверждающий факт осуществления деятельности на основании типового устава;</w:t>
      </w:r>
    </w:p>
    <w:bookmarkEnd w:id="21"/>
    <w:bookmarkStart w:name="z30" w:id="22"/>
    <w:p>
      <w:pPr>
        <w:spacing w:after="0"/>
        <w:ind w:left="0"/>
        <w:jc w:val="both"/>
      </w:pPr>
      <w:r>
        <w:rPr>
          <w:rFonts w:ascii="Times New Roman"/>
          <w:b w:val="false"/>
          <w:i w:val="false"/>
          <w:color w:val="000000"/>
          <w:sz w:val="28"/>
        </w:rPr>
        <w:t>
      5) нотариально удостоверенный документ с образцами подписей работников контрпартнера, уполномоченных на подписание паспорта сделки.</w:t>
      </w:r>
    </w:p>
    <w:bookmarkEnd w:id="22"/>
    <w:bookmarkStart w:name="z31" w:id="23"/>
    <w:p>
      <w:pPr>
        <w:spacing w:after="0"/>
        <w:ind w:left="0"/>
        <w:jc w:val="both"/>
      </w:pPr>
      <w:r>
        <w:rPr>
          <w:rFonts w:ascii="Times New Roman"/>
          <w:b w:val="false"/>
          <w:i w:val="false"/>
          <w:color w:val="000000"/>
          <w:sz w:val="28"/>
        </w:rPr>
        <w:t>
      Для заключения Соглашения о сделках и (или) Соглашения о приеме депозитов потенциальный контрпартнер, являющийся нерезидентом Республики Казахстан, представляет в Национальный Банк следующие документы:</w:t>
      </w:r>
    </w:p>
    <w:bookmarkEnd w:id="23"/>
    <w:bookmarkStart w:name="z32" w:id="24"/>
    <w:p>
      <w:pPr>
        <w:spacing w:after="0"/>
        <w:ind w:left="0"/>
        <w:jc w:val="both"/>
      </w:pPr>
      <w:r>
        <w:rPr>
          <w:rFonts w:ascii="Times New Roman"/>
          <w:b w:val="false"/>
          <w:i w:val="false"/>
          <w:color w:val="000000"/>
          <w:sz w:val="28"/>
        </w:rPr>
        <w:t>
      1) ходатайство на имя руководства Национального Банка на заключение Соглашения о сделках и (или) Соглашения о приеме депозитов;</w:t>
      </w:r>
    </w:p>
    <w:bookmarkEnd w:id="24"/>
    <w:bookmarkStart w:name="z33" w:id="25"/>
    <w:p>
      <w:pPr>
        <w:spacing w:after="0"/>
        <w:ind w:left="0"/>
        <w:jc w:val="both"/>
      </w:pPr>
      <w:r>
        <w:rPr>
          <w:rFonts w:ascii="Times New Roman"/>
          <w:b w:val="false"/>
          <w:i w:val="false"/>
          <w:color w:val="000000"/>
          <w:sz w:val="28"/>
        </w:rPr>
        <w:t>
      2) нотариально удостоверенную копию учредительных документов (за исключением национальных (центральных) банков иностранных государств);</w:t>
      </w:r>
    </w:p>
    <w:bookmarkEnd w:id="25"/>
    <w:bookmarkStart w:name="z34" w:id="26"/>
    <w:p>
      <w:pPr>
        <w:spacing w:after="0"/>
        <w:ind w:left="0"/>
        <w:jc w:val="both"/>
      </w:pPr>
      <w:r>
        <w:rPr>
          <w:rFonts w:ascii="Times New Roman"/>
          <w:b w:val="false"/>
          <w:i w:val="false"/>
          <w:color w:val="000000"/>
          <w:sz w:val="28"/>
        </w:rPr>
        <w:t>
      3) нотариально засвидетельствованную копию лицензии на проведение банковских операций, выданной уполномоченным органом страны нерезидента (за исключением национальных (центральных) банков иностранных государств);</w:t>
      </w:r>
    </w:p>
    <w:bookmarkEnd w:id="26"/>
    <w:bookmarkStart w:name="z35" w:id="27"/>
    <w:p>
      <w:pPr>
        <w:spacing w:after="0"/>
        <w:ind w:left="0"/>
        <w:jc w:val="both"/>
      </w:pPr>
      <w:r>
        <w:rPr>
          <w:rFonts w:ascii="Times New Roman"/>
          <w:b w:val="false"/>
          <w:i w:val="false"/>
          <w:color w:val="000000"/>
          <w:sz w:val="28"/>
        </w:rPr>
        <w:t>
      4) копию (копии) документа (документов), удостоверяющего (удостоверяющих) личность лица (лиц), уполномоченного (уполномоченных) подписывать платежные документы при совершении операций, в соответствии с документом с образцами подписей;</w:t>
      </w:r>
    </w:p>
    <w:bookmarkEnd w:id="27"/>
    <w:bookmarkStart w:name="z36" w:id="28"/>
    <w:p>
      <w:pPr>
        <w:spacing w:after="0"/>
        <w:ind w:left="0"/>
        <w:jc w:val="both"/>
      </w:pPr>
      <w:r>
        <w:rPr>
          <w:rFonts w:ascii="Times New Roman"/>
          <w:b w:val="false"/>
          <w:i w:val="false"/>
          <w:color w:val="000000"/>
          <w:sz w:val="28"/>
        </w:rPr>
        <w:t>
      5) при наличии, копию документа, подтверждающего регистрацию нерезидента Республики Казахстан в качестве налогоплательщика в Республике Казахстан;</w:t>
      </w:r>
    </w:p>
    <w:bookmarkEnd w:id="28"/>
    <w:bookmarkStart w:name="z37" w:id="29"/>
    <w:p>
      <w:pPr>
        <w:spacing w:after="0"/>
        <w:ind w:left="0"/>
        <w:jc w:val="both"/>
      </w:pPr>
      <w:r>
        <w:rPr>
          <w:rFonts w:ascii="Times New Roman"/>
          <w:b w:val="false"/>
          <w:i w:val="false"/>
          <w:color w:val="000000"/>
          <w:sz w:val="28"/>
        </w:rPr>
        <w:t>
      6) консолидированную финансовую отчетность за последние три года.</w:t>
      </w:r>
    </w:p>
    <w:bookmarkEnd w:id="29"/>
    <w:bookmarkStart w:name="z38" w:id="30"/>
    <w:p>
      <w:pPr>
        <w:spacing w:after="0"/>
        <w:ind w:left="0"/>
        <w:jc w:val="both"/>
      </w:pPr>
      <w:r>
        <w:rPr>
          <w:rFonts w:ascii="Times New Roman"/>
          <w:b w:val="false"/>
          <w:i w:val="false"/>
          <w:color w:val="000000"/>
          <w:sz w:val="28"/>
        </w:rPr>
        <w:t>
      В случае наличия заключенного между Национальным Банком и контрпартнером Договора присоединения и (или) Соглашения о сделках допускается заключение Соглашения о приеме депозитов без повторного представления в Национальный Банк контрпартнером документов, предусмотренных настоящим пунктом.";</w:t>
      </w:r>
    </w:p>
    <w:bookmarkEnd w:id="30"/>
    <w:bookmarkStart w:name="z39" w:id="31"/>
    <w:p>
      <w:pPr>
        <w:spacing w:after="0"/>
        <w:ind w:left="0"/>
        <w:jc w:val="both"/>
      </w:pPr>
      <w:r>
        <w:rPr>
          <w:rFonts w:ascii="Times New Roman"/>
          <w:b w:val="false"/>
          <w:i w:val="false"/>
          <w:color w:val="000000"/>
          <w:sz w:val="28"/>
        </w:rPr>
        <w:t>
      дополнить пунктом 8-1 следующего содержания:</w:t>
      </w:r>
    </w:p>
    <w:bookmarkEnd w:id="31"/>
    <w:bookmarkStart w:name="z40" w:id="32"/>
    <w:p>
      <w:pPr>
        <w:spacing w:after="0"/>
        <w:ind w:left="0"/>
        <w:jc w:val="both"/>
      </w:pPr>
      <w:r>
        <w:rPr>
          <w:rFonts w:ascii="Times New Roman"/>
          <w:b w:val="false"/>
          <w:i w:val="false"/>
          <w:color w:val="000000"/>
          <w:sz w:val="28"/>
        </w:rPr>
        <w:t>
      "8-1. Национальный Банк рассматривает документы, представленные потенциальным контрпартнером в соответствии с пунктом 8 Правил, и в случае соответствия представленных документов пункту 8 Правил в срок не более десяти рабочих дней со дня их поступления в Национальный Банк, письменно сообщает о готовности заключить Договор присоединения, Соглашение о сделках и (или) Соглашение о приеме депозитов или направляет отказ с указанием причин.";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xml:space="preserve">
      "9. Соглашение о сделках и Соглашение о приеме депозитов заключаются в письменной форме в соответствии с требованиями гражданского законодательства Республики Казахстан и Закона о рынке ценных бумаг. По соглашению сторон в Соглашение о сделках и (или) Соглашение о приеме депозитов включаются дополнительные условия, не противоречащие Правилам. </w:t>
      </w:r>
    </w:p>
    <w:bookmarkEnd w:id="33"/>
    <w:bookmarkStart w:name="z43" w:id="34"/>
    <w:p>
      <w:pPr>
        <w:spacing w:after="0"/>
        <w:ind w:left="0"/>
        <w:jc w:val="both"/>
      </w:pPr>
      <w:r>
        <w:rPr>
          <w:rFonts w:ascii="Times New Roman"/>
          <w:b w:val="false"/>
          <w:i w:val="false"/>
          <w:color w:val="000000"/>
          <w:sz w:val="28"/>
        </w:rPr>
        <w:t>
      Допускается заключение Соглашения о сделках и (или) Соглашения о приеме депозитов путем обмена факсимильными копиями с последующим обменом оригиналов Соглашения о сделках и (или) Соглашения о приеме депозитов не позднее 14 (четырнадцати) рабочих дней после их заключения.</w:t>
      </w:r>
    </w:p>
    <w:bookmarkEnd w:id="34"/>
    <w:bookmarkStart w:name="z44" w:id="35"/>
    <w:p>
      <w:pPr>
        <w:spacing w:after="0"/>
        <w:ind w:left="0"/>
        <w:jc w:val="both"/>
      </w:pPr>
      <w:r>
        <w:rPr>
          <w:rFonts w:ascii="Times New Roman"/>
          <w:b w:val="false"/>
          <w:i w:val="false"/>
          <w:color w:val="000000"/>
          <w:sz w:val="28"/>
        </w:rPr>
        <w:t>
      Контрпартнер считается присоединенным к Договору присоединения после направления Национальным Банком письменного уведомления о положительном решении.";</w:t>
      </w:r>
    </w:p>
    <w:bookmarkEnd w:id="35"/>
    <w:bookmarkStart w:name="z45" w:id="36"/>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p>
    <w:bookmarkEnd w:id="36"/>
    <w:bookmarkStart w:name="z46" w:id="37"/>
    <w:p>
      <w:pPr>
        <w:spacing w:after="0"/>
        <w:ind w:left="0"/>
        <w:jc w:val="both"/>
      </w:pPr>
      <w:r>
        <w:rPr>
          <w:rFonts w:ascii="Times New Roman"/>
          <w:b w:val="false"/>
          <w:i w:val="false"/>
          <w:color w:val="000000"/>
          <w:sz w:val="28"/>
        </w:rPr>
        <w:t xml:space="preserve">
      "12) иные виды сделок, не противоречащие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Закону</w:t>
      </w:r>
      <w:r>
        <w:rPr>
          <w:rFonts w:ascii="Times New Roman"/>
          <w:b w:val="false"/>
          <w:i w:val="false"/>
          <w:color w:val="000000"/>
          <w:sz w:val="28"/>
        </w:rPr>
        <w:t xml:space="preserve"> о Национальном Банке.";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"14. Совершение операций и сделок на биржевом рынке осуществляется в соответствии с правилами организатора торгов.</w:t>
      </w:r>
    </w:p>
    <w:bookmarkEnd w:id="38"/>
    <w:bookmarkStart w:name="z49" w:id="39"/>
    <w:p>
      <w:pPr>
        <w:spacing w:after="0"/>
        <w:ind w:left="0"/>
        <w:jc w:val="both"/>
      </w:pPr>
      <w:r>
        <w:rPr>
          <w:rFonts w:ascii="Times New Roman"/>
          <w:b w:val="false"/>
          <w:i w:val="false"/>
          <w:color w:val="000000"/>
          <w:sz w:val="28"/>
        </w:rPr>
        <w:t>
      Совершение операций и сделок на межбанковском рынке осуществляется в соответствии с Правилами на основании Договора присоединения или Соглашения о сделках и (или) Соглашения о приеме депозитов.";</w:t>
      </w:r>
    </w:p>
    <w:bookmarkEnd w:id="39"/>
    <w:bookmarkStart w:name="z50" w:id="40"/>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40"/>
    <w:bookmarkStart w:name="z51" w:id="41"/>
    <w:p>
      <w:pPr>
        <w:spacing w:after="0"/>
        <w:ind w:left="0"/>
        <w:jc w:val="both"/>
      </w:pPr>
      <w:r>
        <w:rPr>
          <w:rFonts w:ascii="Times New Roman"/>
          <w:b w:val="false"/>
          <w:i w:val="false"/>
          <w:color w:val="000000"/>
          <w:sz w:val="28"/>
        </w:rPr>
        <w:t>
      "1) проведения переговоров между дилерами по системе Bloomberg или Reuters FX Trading;";</w:t>
      </w:r>
    </w:p>
    <w:bookmarkEnd w:id="41"/>
    <w:bookmarkStart w:name="z52" w:id="42"/>
    <w:p>
      <w:pPr>
        <w:spacing w:after="0"/>
        <w:ind w:left="0"/>
        <w:jc w:val="both"/>
      </w:pPr>
      <w:r>
        <w:rPr>
          <w:rFonts w:ascii="Times New Roman"/>
          <w:b w:val="false"/>
          <w:i w:val="false"/>
          <w:color w:val="000000"/>
          <w:sz w:val="28"/>
        </w:rPr>
        <w:t xml:space="preserve">
      подпункт 2) части второй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w:t>
      </w:r>
    </w:p>
    <w:bookmarkEnd w:id="42"/>
    <w:bookmarkStart w:name="z53" w:id="43"/>
    <w:p>
      <w:pPr>
        <w:spacing w:after="0"/>
        <w:ind w:left="0"/>
        <w:jc w:val="both"/>
      </w:pPr>
      <w:r>
        <w:rPr>
          <w:rFonts w:ascii="Times New Roman"/>
          <w:b w:val="false"/>
          <w:i w:val="false"/>
          <w:color w:val="000000"/>
          <w:sz w:val="28"/>
        </w:rPr>
        <w:t>
      "2) системам Bloomberg и Reuters FX Trading считается момент подтверждения заключения сделки;";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55" w:id="44"/>
    <w:p>
      <w:pPr>
        <w:spacing w:after="0"/>
        <w:ind w:left="0"/>
        <w:jc w:val="both"/>
      </w:pPr>
      <w:r>
        <w:rPr>
          <w:rFonts w:ascii="Times New Roman"/>
          <w:b w:val="false"/>
          <w:i w:val="false"/>
          <w:color w:val="000000"/>
          <w:sz w:val="28"/>
        </w:rPr>
        <w:t>
      "18. Записи на цифровых носителях, оригиналы или копии паспортов сделок, тексты разговоров с подтверждением совершения сделок в системах Bloomberg и Reuters FX Trading, первичные документы, формируемые биржевыми терминалами KASE, NEXT и системой обмена электронными документами eTransfer.kz считаются документами, удостоверяющими факт совершения сделки.</w:t>
      </w:r>
    </w:p>
    <w:bookmarkEnd w:id="44"/>
    <w:bookmarkStart w:name="z56" w:id="45"/>
    <w:p>
      <w:pPr>
        <w:spacing w:after="0"/>
        <w:ind w:left="0"/>
        <w:jc w:val="both"/>
      </w:pPr>
      <w:r>
        <w:rPr>
          <w:rFonts w:ascii="Times New Roman"/>
          <w:b w:val="false"/>
          <w:i w:val="false"/>
          <w:color w:val="000000"/>
          <w:sz w:val="28"/>
        </w:rPr>
        <w:t>
      19. В случаях, когда условия сделки, указанные в подтверждении условий сделки, полученные одной стороной от другой стороны, отличаются от условий, оговоренных сторонами при совершении сделки, стороны принимают меры к урегулированию расхождений на основе подлинных условий, оговоренных при заключении сделки, и сторона, допустившая неточность, представляет другой стороне соответствующее подлинным условиям сделки подтверждение в соответствии с условиями Договора присоединения или Соглашения о сделках и (или) Соглашения о приеме депозитов.</w:t>
      </w:r>
    </w:p>
    <w:bookmarkEnd w:id="45"/>
    <w:bookmarkStart w:name="z57" w:id="46"/>
    <w:p>
      <w:pPr>
        <w:spacing w:after="0"/>
        <w:ind w:left="0"/>
        <w:jc w:val="both"/>
      </w:pPr>
      <w:r>
        <w:rPr>
          <w:rFonts w:ascii="Times New Roman"/>
          <w:b w:val="false"/>
          <w:i w:val="false"/>
          <w:color w:val="000000"/>
          <w:sz w:val="28"/>
        </w:rPr>
        <w:t>
      20. После заключения сделки дилеры обмениваются копиями паспортов сделки, кроме случаев, когда сделка заключена в системах Bloomberg, Reuters FX Trading или через биржевые терминалы KASE или NEXT. Стороны обмениваются оригиналами паспортов сделки не позднее 5 (пяти) рабочих дней после заключения сделки в соответствии с условиями Договора присоединения, или Соглашения о сделках и (или) Соглашения о приеме депозитов.";</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"23. Валютные сделки совершаются Национальным Банком на межбанковском или биржевом рынке для удовлетворения (обеспечения) внутреннего спроса (предложения) на иностранную валюту.";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1" w:id="48"/>
    <w:p>
      <w:pPr>
        <w:spacing w:after="0"/>
        <w:ind w:left="0"/>
        <w:jc w:val="both"/>
      </w:pPr>
      <w:r>
        <w:rPr>
          <w:rFonts w:ascii="Times New Roman"/>
          <w:b w:val="false"/>
          <w:i w:val="false"/>
          <w:color w:val="000000"/>
          <w:sz w:val="28"/>
        </w:rPr>
        <w:t>
      "25. В целях реализации денежно-кредитной политики Национальный Банк проводит депозитный аукцион и осуществляет прием депозитов (банковских вкладов) от банков второго уровня.</w:t>
      </w:r>
    </w:p>
    <w:bookmarkEnd w:id="48"/>
    <w:bookmarkStart w:name="z62" w:id="49"/>
    <w:p>
      <w:pPr>
        <w:spacing w:after="0"/>
        <w:ind w:left="0"/>
        <w:jc w:val="both"/>
      </w:pPr>
      <w:r>
        <w:rPr>
          <w:rFonts w:ascii="Times New Roman"/>
          <w:b w:val="false"/>
          <w:i w:val="false"/>
          <w:color w:val="000000"/>
          <w:sz w:val="28"/>
        </w:rPr>
        <w:t xml:space="preserve">
      Национальный Банк осуществляет прием депозитов (банковских вкладов) у владельцев банковских счетов в Национальном Банке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Национальном Банке.</w:t>
      </w:r>
    </w:p>
    <w:bookmarkEnd w:id="49"/>
    <w:bookmarkStart w:name="z63" w:id="50"/>
    <w:p>
      <w:pPr>
        <w:spacing w:after="0"/>
        <w:ind w:left="0"/>
        <w:jc w:val="both"/>
      </w:pPr>
      <w:r>
        <w:rPr>
          <w:rFonts w:ascii="Times New Roman"/>
          <w:b w:val="false"/>
          <w:i w:val="false"/>
          <w:color w:val="000000"/>
          <w:sz w:val="28"/>
        </w:rPr>
        <w:t>
      Обязательным условием для размещения депозитов (банковских вкладов) является открытие в Национальном Банке сберегательного счета.";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65" w:id="51"/>
    <w:p>
      <w:pPr>
        <w:spacing w:after="0"/>
        <w:ind w:left="0"/>
        <w:jc w:val="both"/>
      </w:pPr>
      <w:r>
        <w:rPr>
          <w:rFonts w:ascii="Times New Roman"/>
          <w:b w:val="false"/>
          <w:i w:val="false"/>
          <w:color w:val="000000"/>
          <w:sz w:val="28"/>
        </w:rPr>
        <w:t>
      "27. Сумма вознаграждения по депозитным аукционам и депозитам (банковским вкладам) начисляется по простому методу начисления (начисление вознаграждения, осуществляется с первого дня привлечения депозита), за расчетную базу условно принимается фактическое количество дней нахождения денег на депозите (банковском вкладе) и 360 (триста шестьдесят) дней в году.";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67" w:id="52"/>
    <w:p>
      <w:pPr>
        <w:spacing w:after="0"/>
        <w:ind w:left="0"/>
        <w:jc w:val="both"/>
      </w:pPr>
      <w:r>
        <w:rPr>
          <w:rFonts w:ascii="Times New Roman"/>
          <w:b w:val="false"/>
          <w:i w:val="false"/>
          <w:color w:val="000000"/>
          <w:sz w:val="28"/>
        </w:rPr>
        <w:t>
      "40. Национальный Банк предоставляет займы контрпартнерам в соответствии с Законом о Национальном Банке.";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9" w:id="53"/>
    <w:p>
      <w:pPr>
        <w:spacing w:after="0"/>
        <w:ind w:left="0"/>
        <w:jc w:val="both"/>
      </w:pPr>
      <w:r>
        <w:rPr>
          <w:rFonts w:ascii="Times New Roman"/>
          <w:b w:val="false"/>
          <w:i w:val="false"/>
          <w:color w:val="000000"/>
          <w:sz w:val="28"/>
        </w:rPr>
        <w:t xml:space="preserve">
      "43. Ставка дисконта на приобретение аффинированного золота для пополнения активов в драгоценных металлах включает в себя составляющие, определенные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февраля 2016 года № 61 "Об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 зарегистрированным в Реестре государственной регистрации нормативных правовых актов под № 13617.".</w:t>
      </w:r>
    </w:p>
    <w:bookmarkEnd w:id="53"/>
    <w:bookmarkStart w:name="z70" w:id="54"/>
    <w:p>
      <w:pPr>
        <w:spacing w:after="0"/>
        <w:ind w:left="0"/>
        <w:jc w:val="both"/>
      </w:pPr>
      <w:r>
        <w:rPr>
          <w:rFonts w:ascii="Times New Roman"/>
          <w:b w:val="false"/>
          <w:i w:val="false"/>
          <w:color w:val="000000"/>
          <w:sz w:val="28"/>
        </w:rPr>
        <w:t>
      2. Департаменту монетарных операций (Молдабекова А.М.) в установленном законодательством Республики Казахстан порядке обеспечить:</w:t>
      </w:r>
    </w:p>
    <w:bookmarkEnd w:id="54"/>
    <w:bookmarkStart w:name="z71" w:id="5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5"/>
    <w:bookmarkStart w:name="z72" w:id="5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6"/>
    <w:bookmarkStart w:name="z73" w:id="5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7"/>
    <w:bookmarkStart w:name="z74" w:id="5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58"/>
    <w:bookmarkStart w:name="z75" w:id="5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9"/>
    <w:bookmarkStart w:name="z76" w:id="6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60"/>
    <w:bookmarkStart w:name="z77" w:id="6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