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400a" w14:textId="c6b4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сельского хозяйства Республики Казахстан от 15 августа 2017 года № 337 "Об утверждении Правил по перезакреплению охотничьих угодий и рыбохозяйственных водоемов и (или) участков и квалификационных требований, предъявляемых к лицам, за которыми они ранее были закреплены"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10 июля 2018 года № 294. Зарегистрирован в Министерстве юстиции Республики Казахстан 24 июля 2018 года № 17227. Утратил силу приказом Министра экологии и природных ресурсов Республики Казахстан от 21 мая 2024 года № 107.</w:t>
      </w:r>
    </w:p>
    <w:p>
      <w:pPr>
        <w:spacing w:after="0"/>
        <w:ind w:left="0"/>
        <w:jc w:val="both"/>
      </w:pPr>
      <w:r>
        <w:rPr>
          <w:rFonts w:ascii="Times New Roman"/>
          <w:b w:val="false"/>
          <w:i w:val="false"/>
          <w:color w:val="ff0000"/>
          <w:sz w:val="28"/>
        </w:rPr>
        <w:t xml:space="preserve">
      Сноска. Утратил силу приказом Министра экологии и природных ресурсов РК от 21.05.2024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15 августа 2017 года № 337 "Об утверждении Правил по перезакреплению охотничьих угодий и рыбохозяйственных водоемов и (или) участков и квалификационных требований, предъявляемых к лицам, за которыми они ранее были закреплены" (зарегистрирован в Реестре государственной регистрации нормативных правовых актов под № 15722, опубликован 25 сентября 2017 года в эталонном контрольном банке нормативно-правовых актов Республики Казахстан)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перезакреплению охотничьих угодий и рыбохозяйственных водоемов и (или) участков,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"10. Заявка включает в себя: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оригинал</w:t>
      </w:r>
      <w:r>
        <w:rPr>
          <w:rFonts w:ascii="Times New Roman"/>
          <w:b w:val="false"/>
          <w:i w:val="false"/>
          <w:color w:val="000000"/>
          <w:sz w:val="28"/>
        </w:rPr>
        <w:t xml:space="preserve"> заявления на перезакрепление охотничьих угодий по форме, согласно приложению 3 к настоящим Правилам;</w:t>
      </w:r>
    </w:p>
    <w:bookmarkStart w:name="z10" w:id="4"/>
    <w:p>
      <w:pPr>
        <w:spacing w:after="0"/>
        <w:ind w:left="0"/>
        <w:jc w:val="both"/>
      </w:pPr>
      <w:r>
        <w:rPr>
          <w:rFonts w:ascii="Times New Roman"/>
          <w:b w:val="false"/>
          <w:i w:val="false"/>
          <w:color w:val="000000"/>
          <w:sz w:val="28"/>
        </w:rPr>
        <w:t>
      документы, подтверждающие соответствие заявителя установленным квалификационным требованиям, предъявляемым к заявителям: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оригинал</w:t>
      </w:r>
      <w:r>
        <w:rPr>
          <w:rFonts w:ascii="Times New Roman"/>
          <w:b w:val="false"/>
          <w:i w:val="false"/>
          <w:color w:val="000000"/>
          <w:sz w:val="28"/>
        </w:rPr>
        <w:t xml:space="preserve"> плана развития субъекта охотничьего хозяйства (на два года) в соответствии с типовой формой, утвержденной приказом Министра сельского хозяйства Республики Казахстан от 31 марта 2015 года № 18-04/287 (зарегистрирован в Реестре государственной регистрации нормативных правовых актов № 10890) (далее – Типовая форма); </w:t>
      </w:r>
    </w:p>
    <w:bookmarkStart w:name="z12" w:id="5"/>
    <w:p>
      <w:pPr>
        <w:spacing w:after="0"/>
        <w:ind w:left="0"/>
        <w:jc w:val="both"/>
      </w:pPr>
      <w:r>
        <w:rPr>
          <w:rFonts w:ascii="Times New Roman"/>
          <w:b w:val="false"/>
          <w:i w:val="false"/>
          <w:color w:val="000000"/>
          <w:sz w:val="28"/>
        </w:rPr>
        <w:t>
      копии документов, подтверждающих наличие материально-технических средств;</w:t>
      </w:r>
    </w:p>
    <w:bookmarkEnd w:id="5"/>
    <w:bookmarkStart w:name="z13" w:id="6"/>
    <w:p>
      <w:pPr>
        <w:spacing w:after="0"/>
        <w:ind w:left="0"/>
        <w:jc w:val="both"/>
      </w:pPr>
      <w:r>
        <w:rPr>
          <w:rFonts w:ascii="Times New Roman"/>
          <w:b w:val="false"/>
          <w:i w:val="false"/>
          <w:color w:val="000000"/>
          <w:sz w:val="28"/>
        </w:rPr>
        <w:t>
      копии заключенных трудовых договоров и дипломов со специалистами в области охотничьего хозяйства;</w:t>
      </w:r>
    </w:p>
    <w:bookmarkEnd w:id="6"/>
    <w:bookmarkStart w:name="z14" w:id="7"/>
    <w:p>
      <w:pPr>
        <w:spacing w:after="0"/>
        <w:ind w:left="0"/>
        <w:jc w:val="both"/>
      </w:pPr>
      <w:r>
        <w:rPr>
          <w:rFonts w:ascii="Times New Roman"/>
          <w:b w:val="false"/>
          <w:i w:val="false"/>
          <w:color w:val="000000"/>
          <w:sz w:val="28"/>
        </w:rPr>
        <w:t>
      оригинал справки банка, филиала или отделения банка на бумажном носителе с подписью и печатью, в котором обслуживается заявитель об отсутствии просроченной задолженности по всем видам обязательств заявителя, перед банком, филиалом или отделением банка (в случае, если заявитель является клиентом нескольких банков второго уровня, филиалов или отделений, а также иностранного банка, данная справка представляется от каждого из таких банков), выданной не ранее тридцати календарных дней предшествующего дате подачи заявки;</w:t>
      </w:r>
    </w:p>
    <w:bookmarkEnd w:id="7"/>
    <w:bookmarkStart w:name="z15" w:id="8"/>
    <w:p>
      <w:pPr>
        <w:spacing w:after="0"/>
        <w:ind w:left="0"/>
        <w:jc w:val="both"/>
      </w:pPr>
      <w:r>
        <w:rPr>
          <w:rFonts w:ascii="Times New Roman"/>
          <w:b w:val="false"/>
          <w:i w:val="false"/>
          <w:color w:val="000000"/>
          <w:sz w:val="28"/>
        </w:rPr>
        <w:t>
      сведения о выполнении обязательств согласно плану развития субъектов охотничьего хозяйства.".</w:t>
      </w:r>
    </w:p>
    <w:bookmarkEnd w:id="8"/>
    <w:bookmarkStart w:name="z16" w:id="9"/>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9"/>
    <w:bookmarkStart w:name="z17"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8" w:id="1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1"/>
    <w:bookmarkStart w:name="z19" w:id="12"/>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2"/>
    <w:bookmarkStart w:name="z20" w:id="13"/>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13"/>
    <w:bookmarkStart w:name="z21" w:id="14"/>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14"/>
    <w:bookmarkStart w:name="z22" w:id="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5"/>
    <w:bookmarkStart w:name="z23" w:id="16"/>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Республики Казахстан –</w:t>
            </w:r>
          </w:p>
          <w:p>
            <w:pPr>
              <w:spacing w:after="20"/>
              <w:ind w:left="20"/>
              <w:jc w:val="both"/>
            </w:pPr>
            <w:r>
              <w:rPr>
                <w:rFonts w:ascii="Times New Roman"/>
                <w:b w:val="false"/>
                <w:i/>
                <w:color w:val="000000"/>
                <w:sz w:val="20"/>
              </w:rPr>
              <w:t>Министр 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